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02A" w:rsidRDefault="008F502A" w:rsidP="008F502A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07C781F" wp14:editId="32190711">
            <wp:extent cx="2076450" cy="1021500"/>
            <wp:effectExtent l="0" t="0" r="0" b="7620"/>
            <wp:docPr id="1" name="Picture 1" descr="I:\GenShare\Logos\official_logo\COLOUR\main H4H Logo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GenShare\Logos\official_logo\COLOUR\main H4H Logo HIGH 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37" cy="102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2A" w:rsidRPr="00343043" w:rsidRDefault="008F502A" w:rsidP="008F502A">
      <w:pPr>
        <w:spacing w:after="0"/>
        <w:jc w:val="center"/>
        <w:rPr>
          <w:rFonts w:ascii="Trajan Pro" w:hAnsi="Trajan Pro"/>
          <w:b/>
          <w:bCs/>
          <w:color w:val="002663"/>
        </w:rPr>
      </w:pPr>
      <w:r w:rsidRPr="00343043">
        <w:rPr>
          <w:rFonts w:ascii="Trajan Pro" w:hAnsi="Trajan Pro"/>
          <w:b/>
          <w:bCs/>
          <w:color w:val="002663"/>
        </w:rPr>
        <w:t>JOB SUMMARY AND PERSON SPECIFICATION</w:t>
      </w:r>
    </w:p>
    <w:p w:rsidR="008F502A" w:rsidRDefault="008F502A"/>
    <w:p w:rsidR="003C6ECC" w:rsidRDefault="00C16494">
      <w:r w:rsidRPr="008F502A">
        <w:rPr>
          <w:b/>
        </w:rPr>
        <w:t>Job Title:</w:t>
      </w:r>
      <w:r>
        <w:tab/>
      </w:r>
      <w:r w:rsidR="008F502A">
        <w:t>Grants Manager (GM)</w:t>
      </w:r>
    </w:p>
    <w:p w:rsidR="00C16494" w:rsidRDefault="00C16494">
      <w:r w:rsidRPr="008F502A">
        <w:rPr>
          <w:b/>
        </w:rPr>
        <w:t>Reports to:</w:t>
      </w:r>
      <w:r>
        <w:tab/>
        <w:t xml:space="preserve">Head of Grants </w:t>
      </w:r>
      <w:r w:rsidR="007E55EE">
        <w:t>(</w:t>
      </w:r>
      <w:proofErr w:type="spellStart"/>
      <w:r>
        <w:t>HoG</w:t>
      </w:r>
      <w:proofErr w:type="spellEnd"/>
      <w:r w:rsidR="007E55EE">
        <w:t>)</w:t>
      </w:r>
    </w:p>
    <w:p w:rsidR="00C16494" w:rsidRDefault="00C16494">
      <w:r w:rsidRPr="008F502A">
        <w:rPr>
          <w:b/>
        </w:rPr>
        <w:t>Based at:</w:t>
      </w:r>
      <w:r>
        <w:tab/>
        <w:t>Help for Heroes</w:t>
      </w:r>
      <w:r w:rsidR="007E55EE">
        <w:t xml:space="preserve"> (H4H)</w:t>
      </w:r>
      <w:r>
        <w:t>, Tedworth House, Tidworth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2660"/>
        <w:gridCol w:w="6592"/>
      </w:tblGrid>
      <w:tr w:rsidR="00C16494" w:rsidTr="008D6A1F">
        <w:trPr>
          <w:trHeight w:val="312"/>
        </w:trPr>
        <w:tc>
          <w:tcPr>
            <w:tcW w:w="2660" w:type="dxa"/>
          </w:tcPr>
          <w:p w:rsidR="00C16494" w:rsidRPr="008F502A" w:rsidRDefault="00C16494">
            <w:pPr>
              <w:rPr>
                <w:b/>
              </w:rPr>
            </w:pPr>
            <w:r w:rsidRPr="008F502A">
              <w:rPr>
                <w:b/>
              </w:rPr>
              <w:t>Job Purpose</w:t>
            </w:r>
          </w:p>
        </w:tc>
        <w:tc>
          <w:tcPr>
            <w:tcW w:w="6592" w:type="dxa"/>
          </w:tcPr>
          <w:p w:rsidR="00C40BD9" w:rsidRPr="008A15D4" w:rsidRDefault="00C16494" w:rsidP="00C40BD9">
            <w:r w:rsidRPr="008A15D4">
              <w:t xml:space="preserve">To </w:t>
            </w:r>
            <w:r w:rsidR="00C40BD9">
              <w:t xml:space="preserve">manage and </w:t>
            </w:r>
            <w:r w:rsidR="00D5699A" w:rsidRPr="008A15D4">
              <w:t xml:space="preserve">support </w:t>
            </w:r>
            <w:r w:rsidR="00C40BD9">
              <w:t xml:space="preserve">the Grant Giving Programme to Individuals and </w:t>
            </w:r>
            <w:r w:rsidRPr="008A15D4">
              <w:t>External Charities/Organisations</w:t>
            </w:r>
            <w:r w:rsidR="00C40BD9">
              <w:t>, which contribute to the achievement of Help for Heroes’ strategic goals.</w:t>
            </w:r>
          </w:p>
        </w:tc>
      </w:tr>
      <w:tr w:rsidR="00C16494" w:rsidTr="008D6A1F">
        <w:trPr>
          <w:trHeight w:val="312"/>
        </w:trPr>
        <w:tc>
          <w:tcPr>
            <w:tcW w:w="2660" w:type="dxa"/>
          </w:tcPr>
          <w:p w:rsidR="00C16494" w:rsidRPr="008F502A" w:rsidRDefault="00C16494">
            <w:pPr>
              <w:rPr>
                <w:b/>
              </w:rPr>
            </w:pPr>
          </w:p>
        </w:tc>
        <w:tc>
          <w:tcPr>
            <w:tcW w:w="6592" w:type="dxa"/>
          </w:tcPr>
          <w:p w:rsidR="00C16494" w:rsidRPr="008A15D4" w:rsidRDefault="00C16494"/>
        </w:tc>
      </w:tr>
      <w:tr w:rsidR="00C16494" w:rsidTr="008D6A1F">
        <w:trPr>
          <w:trHeight w:val="312"/>
        </w:trPr>
        <w:tc>
          <w:tcPr>
            <w:tcW w:w="2660" w:type="dxa"/>
          </w:tcPr>
          <w:p w:rsidR="00C16494" w:rsidRPr="008F502A" w:rsidRDefault="00C16494">
            <w:pPr>
              <w:rPr>
                <w:b/>
              </w:rPr>
            </w:pPr>
            <w:r w:rsidRPr="008F502A">
              <w:rPr>
                <w:b/>
              </w:rPr>
              <w:t>Accountabilities</w:t>
            </w:r>
          </w:p>
        </w:tc>
        <w:tc>
          <w:tcPr>
            <w:tcW w:w="6592" w:type="dxa"/>
          </w:tcPr>
          <w:p w:rsidR="00C40BD9" w:rsidRDefault="00510EF9" w:rsidP="00C16494">
            <w:pPr>
              <w:pStyle w:val="ListParagraph"/>
              <w:numPr>
                <w:ilvl w:val="0"/>
                <w:numId w:val="1"/>
              </w:numPr>
            </w:pPr>
            <w:r>
              <w:t xml:space="preserve">To </w:t>
            </w:r>
            <w:r w:rsidR="00415CCA">
              <w:t xml:space="preserve">support </w:t>
            </w:r>
            <w:proofErr w:type="spellStart"/>
            <w:r w:rsidR="00415CCA">
              <w:t>HoG</w:t>
            </w:r>
            <w:proofErr w:type="spellEnd"/>
            <w:r w:rsidR="00415CCA">
              <w:t xml:space="preserve"> </w:t>
            </w:r>
            <w:r w:rsidR="00C16494" w:rsidRPr="008A15D4">
              <w:t>in developing the Grant Giving Programme and longer term strategy</w:t>
            </w:r>
          </w:p>
          <w:p w:rsidR="00C16494" w:rsidRPr="008A15D4" w:rsidRDefault="00C40BD9" w:rsidP="00C40BD9">
            <w:pPr>
              <w:pStyle w:val="ListParagraph"/>
              <w:numPr>
                <w:ilvl w:val="0"/>
                <w:numId w:val="1"/>
              </w:numPr>
            </w:pPr>
            <w:r>
              <w:t xml:space="preserve">To deputise for </w:t>
            </w:r>
            <w:proofErr w:type="spellStart"/>
            <w:r>
              <w:t>HoG</w:t>
            </w:r>
            <w:proofErr w:type="spellEnd"/>
            <w:r>
              <w:t>, while supporting the grants officers to</w:t>
            </w:r>
            <w:r w:rsidR="00C16494" w:rsidRPr="008A15D4">
              <w:t xml:space="preserve"> use sound judgement and </w:t>
            </w:r>
            <w:r w:rsidR="00510EF9">
              <w:t xml:space="preserve">independently </w:t>
            </w:r>
            <w:r w:rsidR="00C16494" w:rsidRPr="008A15D4">
              <w:t>take decisions within established procedures</w:t>
            </w:r>
          </w:p>
        </w:tc>
      </w:tr>
      <w:tr w:rsidR="00C16494" w:rsidTr="008D6A1F">
        <w:trPr>
          <w:trHeight w:val="312"/>
        </w:trPr>
        <w:tc>
          <w:tcPr>
            <w:tcW w:w="2660" w:type="dxa"/>
          </w:tcPr>
          <w:p w:rsidR="00C16494" w:rsidRPr="008F502A" w:rsidRDefault="00C16494">
            <w:pPr>
              <w:rPr>
                <w:b/>
              </w:rPr>
            </w:pPr>
          </w:p>
        </w:tc>
        <w:tc>
          <w:tcPr>
            <w:tcW w:w="6592" w:type="dxa"/>
          </w:tcPr>
          <w:p w:rsidR="00C16494" w:rsidRPr="008A15D4" w:rsidRDefault="00C16494"/>
        </w:tc>
      </w:tr>
      <w:tr w:rsidR="00C16494" w:rsidTr="008D6A1F">
        <w:trPr>
          <w:trHeight w:val="312"/>
        </w:trPr>
        <w:tc>
          <w:tcPr>
            <w:tcW w:w="2660" w:type="dxa"/>
          </w:tcPr>
          <w:p w:rsidR="00C16494" w:rsidRPr="008F502A" w:rsidRDefault="00C16494">
            <w:pPr>
              <w:rPr>
                <w:b/>
              </w:rPr>
            </w:pPr>
            <w:r w:rsidRPr="008F502A">
              <w:rPr>
                <w:b/>
              </w:rPr>
              <w:t>Main Responsibilities</w:t>
            </w:r>
          </w:p>
        </w:tc>
        <w:tc>
          <w:tcPr>
            <w:tcW w:w="6592" w:type="dxa"/>
          </w:tcPr>
          <w:p w:rsidR="00D5699A" w:rsidRPr="008A15D4" w:rsidRDefault="00D5699A" w:rsidP="005D05AF">
            <w:pPr>
              <w:pStyle w:val="ListParagraph"/>
              <w:numPr>
                <w:ilvl w:val="0"/>
                <w:numId w:val="6"/>
              </w:numPr>
              <w:spacing w:after="225"/>
              <w:rPr>
                <w:rFonts w:eastAsia="Times New Roman" w:cs="Arial"/>
                <w:color w:val="333333"/>
                <w:lang w:eastAsia="en-GB"/>
              </w:rPr>
            </w:pPr>
            <w:r w:rsidRPr="008A15D4">
              <w:rPr>
                <w:rFonts w:eastAsia="Times New Roman" w:cs="Arial"/>
                <w:color w:val="333333"/>
                <w:lang w:eastAsia="en-GB"/>
              </w:rPr>
              <w:t xml:space="preserve">To </w:t>
            </w:r>
            <w:r w:rsidR="00347A8B">
              <w:rPr>
                <w:rFonts w:eastAsia="Times New Roman" w:cs="Arial"/>
                <w:color w:val="333333"/>
                <w:lang w:eastAsia="en-GB"/>
              </w:rPr>
              <w:t xml:space="preserve">process </w:t>
            </w:r>
            <w:r w:rsidRPr="008A15D4">
              <w:rPr>
                <w:rFonts w:eastAsia="Times New Roman" w:cs="Arial"/>
                <w:color w:val="333333"/>
                <w:lang w:eastAsia="en-GB"/>
              </w:rPr>
              <w:t>effective</w:t>
            </w:r>
            <w:r w:rsidR="00347A8B">
              <w:rPr>
                <w:rFonts w:eastAsia="Times New Roman" w:cs="Arial"/>
                <w:color w:val="333333"/>
                <w:lang w:eastAsia="en-GB"/>
              </w:rPr>
              <w:t>ly</w:t>
            </w:r>
            <w:r w:rsidRPr="008A15D4">
              <w:rPr>
                <w:rFonts w:eastAsia="Times New Roman" w:cs="Arial"/>
                <w:color w:val="333333"/>
                <w:lang w:eastAsia="en-GB"/>
              </w:rPr>
              <w:t xml:space="preserve"> </w:t>
            </w:r>
            <w:r w:rsidR="008F502A">
              <w:rPr>
                <w:rFonts w:eastAsia="Times New Roman" w:cs="Arial"/>
                <w:color w:val="333333"/>
                <w:lang w:eastAsia="en-GB"/>
              </w:rPr>
              <w:t xml:space="preserve">and </w:t>
            </w:r>
            <w:r w:rsidR="00347A8B">
              <w:rPr>
                <w:rFonts w:eastAsia="Times New Roman" w:cs="Arial"/>
                <w:color w:val="333333"/>
                <w:lang w:eastAsia="en-GB"/>
              </w:rPr>
              <w:t xml:space="preserve">conduct </w:t>
            </w:r>
            <w:r w:rsidR="008F502A">
              <w:rPr>
                <w:rFonts w:eastAsia="Times New Roman" w:cs="Arial"/>
                <w:color w:val="333333"/>
                <w:lang w:eastAsia="en-GB"/>
              </w:rPr>
              <w:t>due diligence</w:t>
            </w:r>
            <w:r w:rsidR="008F502A" w:rsidRPr="008A15D4">
              <w:rPr>
                <w:rFonts w:eastAsia="Times New Roman" w:cs="Arial"/>
                <w:color w:val="333333"/>
                <w:lang w:eastAsia="en-GB"/>
              </w:rPr>
              <w:t xml:space="preserve"> </w:t>
            </w:r>
            <w:r w:rsidRPr="008A15D4">
              <w:rPr>
                <w:rFonts w:eastAsia="Times New Roman" w:cs="Arial"/>
                <w:color w:val="333333"/>
                <w:lang w:eastAsia="en-GB"/>
              </w:rPr>
              <w:t xml:space="preserve">of </w:t>
            </w:r>
            <w:r w:rsidR="00347A8B">
              <w:rPr>
                <w:rFonts w:eastAsia="Times New Roman" w:cs="Arial"/>
                <w:color w:val="333333"/>
                <w:lang w:eastAsia="en-GB"/>
              </w:rPr>
              <w:t xml:space="preserve">all external </w:t>
            </w:r>
            <w:r w:rsidRPr="008A15D4">
              <w:rPr>
                <w:rFonts w:eastAsia="Times New Roman" w:cs="Arial"/>
                <w:color w:val="333333"/>
                <w:lang w:eastAsia="en-GB"/>
              </w:rPr>
              <w:t>grant applications, to include all associated activities which may occur both pre and post-award</w:t>
            </w:r>
          </w:p>
          <w:p w:rsidR="00D5699A" w:rsidRPr="008F502A" w:rsidRDefault="00415CCA" w:rsidP="005D05AF">
            <w:pPr>
              <w:pStyle w:val="ListParagraph"/>
              <w:numPr>
                <w:ilvl w:val="0"/>
                <w:numId w:val="6"/>
              </w:numPr>
              <w:spacing w:after="225"/>
              <w:rPr>
                <w:rFonts w:eastAsia="Times New Roman" w:cs="Arial"/>
                <w:color w:val="333333"/>
                <w:lang w:eastAsia="en-GB"/>
              </w:rPr>
            </w:pPr>
            <w:r>
              <w:rPr>
                <w:rFonts w:eastAsia="Times New Roman" w:cs="Arial"/>
                <w:color w:val="333333"/>
                <w:lang w:eastAsia="en-GB"/>
              </w:rPr>
              <w:t xml:space="preserve">To be responsible for </w:t>
            </w:r>
            <w:r w:rsidR="008F502A">
              <w:rPr>
                <w:rFonts w:eastAsia="Times New Roman" w:cs="Arial"/>
                <w:color w:val="333333"/>
                <w:lang w:eastAsia="en-GB"/>
              </w:rPr>
              <w:t>l</w:t>
            </w:r>
            <w:r w:rsidR="008F502A" w:rsidRPr="008A15D4">
              <w:rPr>
                <w:rFonts w:eastAsia="Times New Roman" w:cs="Arial"/>
                <w:color w:val="333333"/>
                <w:lang w:eastAsia="en-GB"/>
              </w:rPr>
              <w:t>iaising</w:t>
            </w:r>
            <w:r>
              <w:rPr>
                <w:rFonts w:eastAsia="Times New Roman" w:cs="Arial"/>
                <w:color w:val="333333"/>
                <w:lang w:eastAsia="en-GB"/>
              </w:rPr>
              <w:t>, advising</w:t>
            </w:r>
            <w:r w:rsidR="008F502A" w:rsidRPr="008A15D4">
              <w:rPr>
                <w:rFonts w:eastAsia="Times New Roman" w:cs="Arial"/>
                <w:color w:val="333333"/>
                <w:lang w:eastAsia="en-GB"/>
              </w:rPr>
              <w:t xml:space="preserve"> and negotiating with </w:t>
            </w:r>
            <w:r>
              <w:rPr>
                <w:rFonts w:eastAsia="Times New Roman" w:cs="Arial"/>
                <w:color w:val="333333"/>
                <w:lang w:eastAsia="en-GB"/>
              </w:rPr>
              <w:t xml:space="preserve">grant </w:t>
            </w:r>
            <w:r w:rsidR="008F502A" w:rsidRPr="008A15D4">
              <w:rPr>
                <w:rFonts w:eastAsia="Times New Roman" w:cs="Arial"/>
                <w:color w:val="333333"/>
                <w:lang w:eastAsia="en-GB"/>
              </w:rPr>
              <w:t>applicants on any aspects of their applications</w:t>
            </w:r>
            <w:r w:rsidR="003F1B9D">
              <w:rPr>
                <w:rFonts w:eastAsia="Times New Roman" w:cs="Arial"/>
                <w:color w:val="333333"/>
                <w:lang w:eastAsia="en-GB"/>
              </w:rPr>
              <w:t>.</w:t>
            </w:r>
          </w:p>
          <w:p w:rsidR="00D5699A" w:rsidRDefault="00415CCA" w:rsidP="005D05AF">
            <w:pPr>
              <w:pStyle w:val="ListParagraph"/>
              <w:numPr>
                <w:ilvl w:val="0"/>
                <w:numId w:val="6"/>
              </w:numPr>
              <w:spacing w:after="225"/>
              <w:rPr>
                <w:rFonts w:eastAsia="Times New Roman" w:cs="Arial"/>
                <w:color w:val="333333"/>
                <w:lang w:eastAsia="en-GB"/>
              </w:rPr>
            </w:pPr>
            <w:r>
              <w:rPr>
                <w:rFonts w:eastAsia="Times New Roman" w:cs="Arial"/>
                <w:color w:val="333333"/>
                <w:lang w:eastAsia="en-GB"/>
              </w:rPr>
              <w:t xml:space="preserve">To </w:t>
            </w:r>
            <w:r w:rsidR="005D05AF">
              <w:rPr>
                <w:rFonts w:eastAsia="Times New Roman" w:cs="Arial"/>
                <w:color w:val="333333"/>
                <w:lang w:eastAsia="en-GB"/>
              </w:rPr>
              <w:t>collat</w:t>
            </w:r>
            <w:r>
              <w:rPr>
                <w:rFonts w:eastAsia="Times New Roman" w:cs="Arial"/>
                <w:color w:val="333333"/>
                <w:lang w:eastAsia="en-GB"/>
              </w:rPr>
              <w:t>e</w:t>
            </w:r>
            <w:r w:rsidR="005D05AF">
              <w:rPr>
                <w:rFonts w:eastAsia="Times New Roman" w:cs="Arial"/>
                <w:color w:val="333333"/>
                <w:lang w:eastAsia="en-GB"/>
              </w:rPr>
              <w:t xml:space="preserve"> feedback on grant applications and </w:t>
            </w:r>
            <w:r>
              <w:rPr>
                <w:rFonts w:eastAsia="Times New Roman" w:cs="Arial"/>
                <w:color w:val="333333"/>
                <w:lang w:eastAsia="en-GB"/>
              </w:rPr>
              <w:t>make</w:t>
            </w:r>
            <w:r w:rsidR="00D5699A" w:rsidRPr="008A15D4">
              <w:rPr>
                <w:rFonts w:eastAsia="Times New Roman" w:cs="Arial"/>
                <w:color w:val="333333"/>
                <w:lang w:eastAsia="en-GB"/>
              </w:rPr>
              <w:t xml:space="preserve"> recommendations for funding</w:t>
            </w:r>
            <w:r w:rsidR="008F502A">
              <w:rPr>
                <w:rFonts w:eastAsia="Times New Roman" w:cs="Arial"/>
                <w:color w:val="333333"/>
                <w:lang w:eastAsia="en-GB"/>
              </w:rPr>
              <w:t xml:space="preserve"> </w:t>
            </w:r>
            <w:r w:rsidR="005D05AF">
              <w:rPr>
                <w:rFonts w:eastAsia="Times New Roman" w:cs="Arial"/>
                <w:color w:val="333333"/>
                <w:lang w:eastAsia="en-GB"/>
              </w:rPr>
              <w:t>to the</w:t>
            </w:r>
            <w:r w:rsidR="008F502A">
              <w:rPr>
                <w:rFonts w:eastAsia="Times New Roman" w:cs="Arial"/>
                <w:lang w:eastAsia="en-GB"/>
              </w:rPr>
              <w:t xml:space="preserve"> Grant Recovery Board</w:t>
            </w:r>
            <w:r w:rsidR="00D5699A" w:rsidRPr="008A15D4">
              <w:rPr>
                <w:rFonts w:eastAsia="Times New Roman" w:cs="Arial"/>
                <w:color w:val="333333"/>
                <w:lang w:eastAsia="en-GB"/>
              </w:rPr>
              <w:t>.</w:t>
            </w:r>
          </w:p>
          <w:p w:rsidR="003F1B9D" w:rsidRPr="008A15D4" w:rsidRDefault="00415CCA" w:rsidP="005D05AF">
            <w:pPr>
              <w:pStyle w:val="ListParagraph"/>
              <w:numPr>
                <w:ilvl w:val="0"/>
                <w:numId w:val="6"/>
              </w:numPr>
              <w:spacing w:after="225"/>
              <w:rPr>
                <w:rFonts w:eastAsia="Times New Roman" w:cs="Arial"/>
                <w:color w:val="333333"/>
                <w:lang w:eastAsia="en-GB"/>
              </w:rPr>
            </w:pPr>
            <w:r>
              <w:rPr>
                <w:rFonts w:eastAsia="Times New Roman" w:cs="Arial"/>
                <w:color w:val="333333"/>
                <w:lang w:eastAsia="en-GB"/>
              </w:rPr>
              <w:t>To prepare</w:t>
            </w:r>
            <w:r w:rsidR="003F1B9D">
              <w:rPr>
                <w:rFonts w:eastAsia="Times New Roman" w:cs="Arial"/>
                <w:color w:val="333333"/>
                <w:lang w:eastAsia="en-GB"/>
              </w:rPr>
              <w:t xml:space="preserve"> the Grant Recovery Board papers and to deliver </w:t>
            </w:r>
            <w:r>
              <w:rPr>
                <w:rFonts w:eastAsia="Times New Roman" w:cs="Arial"/>
                <w:color w:val="333333"/>
                <w:lang w:eastAsia="en-GB"/>
              </w:rPr>
              <w:t xml:space="preserve">and represent </w:t>
            </w:r>
            <w:proofErr w:type="spellStart"/>
            <w:r>
              <w:rPr>
                <w:rFonts w:eastAsia="Times New Roman" w:cs="Arial"/>
                <w:color w:val="333333"/>
                <w:lang w:eastAsia="en-GB"/>
              </w:rPr>
              <w:t>HoG</w:t>
            </w:r>
            <w:proofErr w:type="spellEnd"/>
            <w:r>
              <w:rPr>
                <w:rFonts w:eastAsia="Times New Roman" w:cs="Arial"/>
                <w:color w:val="333333"/>
                <w:lang w:eastAsia="en-GB"/>
              </w:rPr>
              <w:t xml:space="preserve"> at the monthly </w:t>
            </w:r>
            <w:r w:rsidR="003F1B9D">
              <w:rPr>
                <w:rFonts w:eastAsia="Times New Roman" w:cs="Arial"/>
                <w:color w:val="333333"/>
                <w:lang w:eastAsia="en-GB"/>
              </w:rPr>
              <w:t xml:space="preserve">Board </w:t>
            </w:r>
            <w:r>
              <w:rPr>
                <w:rFonts w:eastAsia="Times New Roman" w:cs="Arial"/>
                <w:color w:val="333333"/>
                <w:lang w:eastAsia="en-GB"/>
              </w:rPr>
              <w:t>meeting</w:t>
            </w:r>
            <w:r w:rsidR="003F1B9D">
              <w:rPr>
                <w:rFonts w:eastAsia="Times New Roman" w:cs="Arial"/>
                <w:color w:val="333333"/>
                <w:lang w:eastAsia="en-GB"/>
              </w:rPr>
              <w:t>, as required.</w:t>
            </w:r>
          </w:p>
          <w:p w:rsidR="00D5699A" w:rsidRPr="008A15D4" w:rsidRDefault="00D5699A" w:rsidP="005D05AF">
            <w:pPr>
              <w:pStyle w:val="ListParagraph"/>
              <w:numPr>
                <w:ilvl w:val="0"/>
                <w:numId w:val="6"/>
              </w:numPr>
              <w:spacing w:after="225"/>
              <w:rPr>
                <w:rFonts w:eastAsia="Times New Roman" w:cs="Arial"/>
                <w:color w:val="333333"/>
                <w:lang w:eastAsia="en-GB"/>
              </w:rPr>
            </w:pPr>
            <w:r w:rsidRPr="008A15D4">
              <w:rPr>
                <w:rFonts w:eastAsia="Times New Roman" w:cs="Arial"/>
                <w:color w:val="333333"/>
                <w:lang w:eastAsia="en-GB"/>
              </w:rPr>
              <w:t>Ensuring that recommendations to Trustees are in line with current grant making policies</w:t>
            </w:r>
          </w:p>
          <w:p w:rsidR="008F502A" w:rsidRDefault="005D05AF" w:rsidP="005D05AF">
            <w:pPr>
              <w:pStyle w:val="ListParagraph"/>
              <w:numPr>
                <w:ilvl w:val="0"/>
                <w:numId w:val="6"/>
              </w:numPr>
              <w:spacing w:after="225"/>
              <w:rPr>
                <w:rFonts w:eastAsia="Times New Roman" w:cs="Arial"/>
                <w:color w:val="333333"/>
                <w:lang w:eastAsia="en-GB"/>
              </w:rPr>
            </w:pPr>
            <w:r>
              <w:rPr>
                <w:rFonts w:eastAsia="Times New Roman" w:cs="Arial"/>
                <w:color w:val="333333"/>
                <w:lang w:eastAsia="en-GB"/>
              </w:rPr>
              <w:t xml:space="preserve">To </w:t>
            </w:r>
            <w:r w:rsidR="00415CCA">
              <w:rPr>
                <w:rFonts w:eastAsia="Times New Roman" w:cs="Arial"/>
                <w:color w:val="333333"/>
                <w:lang w:eastAsia="en-GB"/>
              </w:rPr>
              <w:t>prepare</w:t>
            </w:r>
            <w:r w:rsidR="00D5699A" w:rsidRPr="008A15D4">
              <w:rPr>
                <w:rFonts w:eastAsia="Times New Roman" w:cs="Arial"/>
                <w:color w:val="333333"/>
                <w:lang w:eastAsia="en-GB"/>
              </w:rPr>
              <w:t xml:space="preserve"> grant agreements</w:t>
            </w:r>
            <w:r w:rsidR="008F502A" w:rsidRPr="008A15D4">
              <w:rPr>
                <w:rFonts w:eastAsia="Times New Roman" w:cs="Arial"/>
                <w:color w:val="333333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333333"/>
                <w:lang w:eastAsia="en-GB"/>
              </w:rPr>
              <w:t xml:space="preserve">for </w:t>
            </w:r>
            <w:proofErr w:type="spellStart"/>
            <w:r>
              <w:rPr>
                <w:rFonts w:eastAsia="Times New Roman" w:cs="Arial"/>
                <w:color w:val="333333"/>
                <w:lang w:eastAsia="en-GB"/>
              </w:rPr>
              <w:t>HoG</w:t>
            </w:r>
            <w:proofErr w:type="spellEnd"/>
            <w:r>
              <w:rPr>
                <w:rFonts w:eastAsia="Times New Roman" w:cs="Arial"/>
                <w:color w:val="333333"/>
                <w:lang w:eastAsia="en-GB"/>
              </w:rPr>
              <w:t xml:space="preserve"> sign-off</w:t>
            </w:r>
          </w:p>
          <w:p w:rsidR="005D05AF" w:rsidRPr="008F502A" w:rsidRDefault="005D05AF" w:rsidP="005D05AF">
            <w:pPr>
              <w:pStyle w:val="ListParagraph"/>
              <w:numPr>
                <w:ilvl w:val="0"/>
                <w:numId w:val="6"/>
              </w:numPr>
              <w:spacing w:before="100" w:beforeAutospacing="1" w:after="75"/>
              <w:rPr>
                <w:rFonts w:eastAsia="Times New Roman" w:cs="Arial"/>
                <w:color w:val="333333"/>
                <w:lang w:eastAsia="en-GB"/>
              </w:rPr>
            </w:pPr>
            <w:r>
              <w:t>T</w:t>
            </w:r>
            <w:r w:rsidRPr="008A15D4">
              <w:t xml:space="preserve">o </w:t>
            </w:r>
            <w:r w:rsidR="00415CCA">
              <w:t>communicate with unsuccessful applicants</w:t>
            </w:r>
            <w:r w:rsidRPr="008A15D4">
              <w:t xml:space="preserve"> in a </w:t>
            </w:r>
            <w:r>
              <w:t xml:space="preserve">sensitive manner </w:t>
            </w:r>
            <w:r w:rsidR="00415CCA">
              <w:t>giving reasons why their application has been</w:t>
            </w:r>
            <w:r w:rsidRPr="008A15D4">
              <w:t xml:space="preserve"> unsuccessful.  </w:t>
            </w:r>
          </w:p>
          <w:p w:rsidR="00D5699A" w:rsidRPr="008F502A" w:rsidRDefault="008F502A" w:rsidP="005D05AF">
            <w:pPr>
              <w:pStyle w:val="ListParagraph"/>
              <w:numPr>
                <w:ilvl w:val="0"/>
                <w:numId w:val="6"/>
              </w:numPr>
              <w:spacing w:after="225"/>
              <w:rPr>
                <w:rFonts w:eastAsia="Times New Roman" w:cs="Arial"/>
                <w:color w:val="333333"/>
                <w:lang w:eastAsia="en-GB"/>
              </w:rPr>
            </w:pPr>
            <w:r w:rsidRPr="008A15D4">
              <w:rPr>
                <w:rFonts w:eastAsia="Times New Roman" w:cs="Arial"/>
                <w:color w:val="333333"/>
                <w:lang w:eastAsia="en-GB"/>
              </w:rPr>
              <w:t xml:space="preserve">Develop </w:t>
            </w:r>
            <w:r w:rsidR="005D05AF">
              <w:rPr>
                <w:rFonts w:eastAsia="Times New Roman" w:cs="Arial"/>
                <w:color w:val="333333"/>
                <w:lang w:eastAsia="en-GB"/>
              </w:rPr>
              <w:t xml:space="preserve">and manage </w:t>
            </w:r>
            <w:r w:rsidR="00415CCA">
              <w:rPr>
                <w:rFonts w:eastAsia="Times New Roman" w:cs="Arial"/>
                <w:color w:val="333333"/>
                <w:lang w:eastAsia="en-GB"/>
              </w:rPr>
              <w:t xml:space="preserve">strong relationships with key strategic </w:t>
            </w:r>
            <w:r w:rsidRPr="008A15D4">
              <w:rPr>
                <w:rFonts w:eastAsia="Times New Roman" w:cs="Arial"/>
                <w:color w:val="333333"/>
                <w:lang w:eastAsia="en-GB"/>
              </w:rPr>
              <w:t>Grant</w:t>
            </w:r>
            <w:r w:rsidR="00415CCA">
              <w:rPr>
                <w:rFonts w:eastAsia="Times New Roman" w:cs="Arial"/>
                <w:color w:val="333333"/>
                <w:lang w:eastAsia="en-GB"/>
              </w:rPr>
              <w:t xml:space="preserve"> partners</w:t>
            </w:r>
            <w:r w:rsidRPr="008A15D4">
              <w:rPr>
                <w:rFonts w:eastAsia="Times New Roman" w:cs="Arial"/>
                <w:color w:val="333333"/>
                <w:lang w:eastAsia="en-GB"/>
              </w:rPr>
              <w:t xml:space="preserve"> visiting projects and organisations as needed</w:t>
            </w:r>
          </w:p>
          <w:p w:rsidR="00510EF9" w:rsidRDefault="00D5699A" w:rsidP="005D05AF">
            <w:pPr>
              <w:pStyle w:val="ListParagraph"/>
              <w:numPr>
                <w:ilvl w:val="0"/>
                <w:numId w:val="6"/>
              </w:numPr>
              <w:spacing w:after="225"/>
              <w:rPr>
                <w:rFonts w:eastAsia="Times New Roman" w:cs="Arial"/>
                <w:color w:val="333333"/>
                <w:lang w:eastAsia="en-GB"/>
              </w:rPr>
            </w:pPr>
            <w:r w:rsidRPr="008A15D4">
              <w:rPr>
                <w:rFonts w:eastAsia="Times New Roman" w:cs="Arial"/>
                <w:color w:val="333333"/>
                <w:lang w:eastAsia="en-GB"/>
              </w:rPr>
              <w:t xml:space="preserve">To </w:t>
            </w:r>
            <w:r w:rsidR="00415CCA">
              <w:rPr>
                <w:rFonts w:eastAsia="Times New Roman" w:cs="Arial"/>
                <w:color w:val="333333"/>
                <w:lang w:eastAsia="en-GB"/>
              </w:rPr>
              <w:t>manage</w:t>
            </w:r>
            <w:r w:rsidRPr="008A15D4">
              <w:rPr>
                <w:rFonts w:eastAsia="Times New Roman" w:cs="Arial"/>
                <w:color w:val="333333"/>
                <w:lang w:eastAsia="en-GB"/>
              </w:rPr>
              <w:t xml:space="preserve"> the maint</w:t>
            </w:r>
            <w:r w:rsidR="00751F8D" w:rsidRPr="008A15D4">
              <w:rPr>
                <w:rFonts w:eastAsia="Times New Roman" w:cs="Arial"/>
                <w:color w:val="333333"/>
                <w:lang w:eastAsia="en-GB"/>
              </w:rPr>
              <w:t>e</w:t>
            </w:r>
            <w:r w:rsidRPr="008A15D4">
              <w:rPr>
                <w:rFonts w:eastAsia="Times New Roman" w:cs="Arial"/>
                <w:color w:val="333333"/>
                <w:lang w:eastAsia="en-GB"/>
              </w:rPr>
              <w:t>n</w:t>
            </w:r>
            <w:r w:rsidR="00751F8D" w:rsidRPr="008A15D4">
              <w:rPr>
                <w:rFonts w:eastAsia="Times New Roman" w:cs="Arial"/>
                <w:color w:val="333333"/>
                <w:lang w:eastAsia="en-GB"/>
              </w:rPr>
              <w:t>an</w:t>
            </w:r>
            <w:r w:rsidRPr="008A15D4">
              <w:rPr>
                <w:rFonts w:eastAsia="Times New Roman" w:cs="Arial"/>
                <w:color w:val="333333"/>
                <w:lang w:eastAsia="en-GB"/>
              </w:rPr>
              <w:t>ce of systems which allow the Charity to assess the imp</w:t>
            </w:r>
            <w:r w:rsidR="00751F8D" w:rsidRPr="008A15D4">
              <w:rPr>
                <w:rFonts w:eastAsia="Times New Roman" w:cs="Arial"/>
                <w:color w:val="333333"/>
                <w:lang w:eastAsia="en-GB"/>
              </w:rPr>
              <w:t>act and effectiveness of grants</w:t>
            </w:r>
          </w:p>
          <w:p w:rsidR="005D05AF" w:rsidRDefault="00510EF9" w:rsidP="005D05AF">
            <w:pPr>
              <w:pStyle w:val="ListParagraph"/>
              <w:numPr>
                <w:ilvl w:val="0"/>
                <w:numId w:val="6"/>
              </w:numPr>
              <w:spacing w:after="225"/>
              <w:rPr>
                <w:rFonts w:eastAsia="Times New Roman" w:cs="Arial"/>
                <w:color w:val="333333"/>
                <w:lang w:eastAsia="en-GB"/>
              </w:rPr>
            </w:pPr>
            <w:r>
              <w:rPr>
                <w:rFonts w:eastAsia="Times New Roman" w:cs="Arial"/>
                <w:color w:val="333333"/>
                <w:lang w:eastAsia="en-GB"/>
              </w:rPr>
              <w:t>T</w:t>
            </w:r>
            <w:r w:rsidR="00D5699A" w:rsidRPr="008A15D4">
              <w:rPr>
                <w:rFonts w:eastAsia="Times New Roman" w:cs="Arial"/>
                <w:color w:val="333333"/>
                <w:lang w:eastAsia="en-GB"/>
              </w:rPr>
              <w:t xml:space="preserve">o </w:t>
            </w:r>
            <w:r w:rsidR="00415CCA">
              <w:rPr>
                <w:rFonts w:eastAsia="Times New Roman" w:cs="Arial"/>
                <w:color w:val="333333"/>
                <w:lang w:eastAsia="en-GB"/>
              </w:rPr>
              <w:t>evaluate</w:t>
            </w:r>
            <w:r>
              <w:rPr>
                <w:rFonts w:eastAsia="Times New Roman" w:cs="Arial"/>
                <w:color w:val="333333"/>
                <w:lang w:eastAsia="en-GB"/>
              </w:rPr>
              <w:t xml:space="preserve"> the management of grants and work with external system provider and IT to develop effective systems</w:t>
            </w:r>
            <w:r w:rsidR="00D5699A" w:rsidRPr="008A15D4">
              <w:rPr>
                <w:rFonts w:eastAsia="Times New Roman" w:cs="Arial"/>
                <w:color w:val="333333"/>
                <w:lang w:eastAsia="en-GB"/>
              </w:rPr>
              <w:t xml:space="preserve">. </w:t>
            </w:r>
          </w:p>
          <w:p w:rsidR="005D05AF" w:rsidRPr="005D05AF" w:rsidRDefault="005D05AF" w:rsidP="005D05AF">
            <w:pPr>
              <w:pStyle w:val="ListParagraph"/>
              <w:numPr>
                <w:ilvl w:val="0"/>
                <w:numId w:val="6"/>
              </w:numPr>
              <w:spacing w:after="225"/>
              <w:rPr>
                <w:rFonts w:eastAsia="Times New Roman" w:cs="Arial"/>
                <w:color w:val="333333"/>
                <w:lang w:eastAsia="en-GB"/>
              </w:rPr>
            </w:pPr>
            <w:r>
              <w:rPr>
                <w:rFonts w:eastAsia="Times New Roman" w:cs="Arial"/>
                <w:color w:val="333333"/>
                <w:lang w:eastAsia="en-GB"/>
              </w:rPr>
              <w:t>To p</w:t>
            </w:r>
            <w:r>
              <w:t>repare</w:t>
            </w:r>
            <w:r w:rsidRPr="008A15D4">
              <w:t xml:space="preserve"> monthly stat</w:t>
            </w:r>
            <w:r>
              <w:t>i</w:t>
            </w:r>
            <w:r w:rsidRPr="008A15D4">
              <w:t>s</w:t>
            </w:r>
            <w:r>
              <w:t>tics</w:t>
            </w:r>
            <w:r w:rsidRPr="008A15D4">
              <w:t xml:space="preserve"> and </w:t>
            </w:r>
            <w:r w:rsidRPr="008A15D4">
              <w:rPr>
                <w:rFonts w:eastAsia="Times New Roman" w:cs="Arial"/>
                <w:color w:val="333333"/>
                <w:lang w:eastAsia="en-GB"/>
              </w:rPr>
              <w:t>produce reports on impact and effectiveness</w:t>
            </w:r>
            <w:r>
              <w:rPr>
                <w:rFonts w:eastAsia="Times New Roman" w:cs="Arial"/>
                <w:color w:val="333333"/>
                <w:lang w:eastAsia="en-GB"/>
              </w:rPr>
              <w:t xml:space="preserve"> of the grant giving programme for Trustees</w:t>
            </w:r>
            <w:r w:rsidRPr="008A15D4">
              <w:rPr>
                <w:rFonts w:eastAsia="Times New Roman" w:cs="Arial"/>
                <w:color w:val="333333"/>
                <w:lang w:eastAsia="en-GB"/>
              </w:rPr>
              <w:t>.</w:t>
            </w:r>
          </w:p>
          <w:p w:rsidR="005D05AF" w:rsidRPr="005D05AF" w:rsidRDefault="005D05AF" w:rsidP="005D05AF">
            <w:pPr>
              <w:pStyle w:val="ListParagraph"/>
              <w:numPr>
                <w:ilvl w:val="0"/>
                <w:numId w:val="6"/>
              </w:numPr>
              <w:spacing w:after="225"/>
              <w:rPr>
                <w:rFonts w:eastAsia="Times New Roman" w:cs="Arial"/>
                <w:color w:val="333333"/>
                <w:lang w:eastAsia="en-GB"/>
              </w:rPr>
            </w:pPr>
            <w:r>
              <w:t xml:space="preserve">To ensure </w:t>
            </w:r>
            <w:r w:rsidR="003F1B9D">
              <w:t xml:space="preserve">informed </w:t>
            </w:r>
            <w:r>
              <w:t>communication of grant awards to</w:t>
            </w:r>
            <w:r w:rsidRPr="008A15D4">
              <w:t xml:space="preserve"> </w:t>
            </w:r>
            <w:proofErr w:type="spellStart"/>
            <w:r w:rsidRPr="008A15D4">
              <w:t>PR</w:t>
            </w:r>
            <w:r>
              <w:t>&amp;Comms</w:t>
            </w:r>
            <w:proofErr w:type="spellEnd"/>
            <w:r>
              <w:t xml:space="preserve"> Team for sharing with the Third Sector.</w:t>
            </w:r>
          </w:p>
          <w:p w:rsidR="003F1B9D" w:rsidRDefault="003F1B9D" w:rsidP="003F1B9D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Budgetary a</w:t>
            </w:r>
            <w:r w:rsidRPr="008A15D4">
              <w:t xml:space="preserve">pproval of grants to individuals up to a </w:t>
            </w:r>
            <w:r w:rsidR="00415CCA">
              <w:t>£8</w:t>
            </w:r>
            <w:r>
              <w:t>000 and preparation of instructions to Purchase Ledger to pay awards to grant partners without limit in value.</w:t>
            </w:r>
          </w:p>
          <w:p w:rsidR="00415CCA" w:rsidRPr="008A15D4" w:rsidRDefault="00415CCA" w:rsidP="00415CCA">
            <w:pPr>
              <w:pStyle w:val="ListParagraph"/>
              <w:numPr>
                <w:ilvl w:val="0"/>
                <w:numId w:val="6"/>
              </w:numPr>
            </w:pPr>
            <w:r>
              <w:t>To ensure that recommendations to Trustees of grants in excess of £50,000 are in line with current grant making policies.</w:t>
            </w:r>
          </w:p>
          <w:p w:rsidR="00415CCA" w:rsidRPr="00415CCA" w:rsidRDefault="00366CB9" w:rsidP="00BF1A87">
            <w:pPr>
              <w:pStyle w:val="ListParagraph"/>
              <w:numPr>
                <w:ilvl w:val="0"/>
                <w:numId w:val="6"/>
              </w:numPr>
              <w:spacing w:before="100" w:beforeAutospacing="1" w:after="75"/>
            </w:pPr>
            <w:r w:rsidRPr="00415CCA">
              <w:rPr>
                <w:rFonts w:eastAsia="Times New Roman" w:cs="Arial"/>
                <w:color w:val="333333"/>
                <w:lang w:eastAsia="en-GB"/>
              </w:rPr>
              <w:t xml:space="preserve">To assist the </w:t>
            </w:r>
            <w:proofErr w:type="spellStart"/>
            <w:r w:rsidRPr="00415CCA">
              <w:rPr>
                <w:rFonts w:eastAsia="Times New Roman" w:cs="Arial"/>
                <w:color w:val="333333"/>
                <w:lang w:eastAsia="en-GB"/>
              </w:rPr>
              <w:t>HoG</w:t>
            </w:r>
            <w:proofErr w:type="spellEnd"/>
            <w:r w:rsidR="00D5699A" w:rsidRPr="00415CCA">
              <w:rPr>
                <w:rFonts w:eastAsia="Times New Roman" w:cs="Arial"/>
                <w:color w:val="333333"/>
                <w:lang w:eastAsia="en-GB"/>
              </w:rPr>
              <w:t xml:space="preserve"> in developing priorities for grant making; </w:t>
            </w:r>
          </w:p>
          <w:p w:rsidR="00415CCA" w:rsidRPr="00415CCA" w:rsidRDefault="00415CCA" w:rsidP="00BF1A87">
            <w:pPr>
              <w:pStyle w:val="ListParagraph"/>
              <w:numPr>
                <w:ilvl w:val="0"/>
                <w:numId w:val="6"/>
              </w:numPr>
              <w:spacing w:before="100" w:beforeAutospacing="1" w:after="75"/>
            </w:pPr>
            <w:r>
              <w:rPr>
                <w:rFonts w:eastAsia="Times New Roman" w:cs="Arial"/>
                <w:color w:val="333333"/>
                <w:lang w:eastAsia="en-GB"/>
              </w:rPr>
              <w:t>T</w:t>
            </w:r>
            <w:r w:rsidR="00D5699A" w:rsidRPr="00415CCA">
              <w:rPr>
                <w:rFonts w:eastAsia="Times New Roman" w:cs="Arial"/>
                <w:color w:val="333333"/>
                <w:lang w:eastAsia="en-GB"/>
              </w:rPr>
              <w:t xml:space="preserve">o research and </w:t>
            </w:r>
            <w:r>
              <w:rPr>
                <w:rFonts w:eastAsia="Times New Roman" w:cs="Arial"/>
                <w:color w:val="333333"/>
                <w:lang w:eastAsia="en-GB"/>
              </w:rPr>
              <w:t>prepare</w:t>
            </w:r>
            <w:r w:rsidR="00D5699A" w:rsidRPr="00415CCA">
              <w:rPr>
                <w:rFonts w:eastAsia="Times New Roman" w:cs="Arial"/>
                <w:color w:val="333333"/>
                <w:lang w:eastAsia="en-GB"/>
              </w:rPr>
              <w:t xml:space="preserve"> policy proposals and discussion papers for the </w:t>
            </w:r>
            <w:r w:rsidR="00366CB9" w:rsidRPr="00415CCA">
              <w:rPr>
                <w:rFonts w:eastAsia="Times New Roman" w:cs="Arial"/>
                <w:color w:val="333333"/>
                <w:lang w:eastAsia="en-GB"/>
              </w:rPr>
              <w:t xml:space="preserve">Grants Committee and </w:t>
            </w:r>
            <w:r w:rsidR="00D5699A" w:rsidRPr="00415CCA">
              <w:rPr>
                <w:rFonts w:eastAsia="Times New Roman" w:cs="Arial"/>
                <w:color w:val="333333"/>
                <w:lang w:eastAsia="en-GB"/>
              </w:rPr>
              <w:t>Trustees.</w:t>
            </w:r>
          </w:p>
          <w:p w:rsidR="008F502A" w:rsidRPr="008F502A" w:rsidRDefault="00D5699A" w:rsidP="00BF1A87">
            <w:pPr>
              <w:pStyle w:val="ListParagraph"/>
              <w:numPr>
                <w:ilvl w:val="0"/>
                <w:numId w:val="6"/>
              </w:numPr>
              <w:spacing w:before="100" w:beforeAutospacing="1" w:after="75"/>
            </w:pPr>
            <w:r w:rsidRPr="00415CCA">
              <w:rPr>
                <w:rFonts w:eastAsia="Times New Roman" w:cs="Arial"/>
                <w:color w:val="333333"/>
                <w:lang w:eastAsia="en-GB"/>
              </w:rPr>
              <w:t>To monitor legislation, social and political trends, and other matters, as they relate to income poverty, social need, education, employability.</w:t>
            </w:r>
          </w:p>
          <w:p w:rsidR="00366CB9" w:rsidRPr="008A15D4" w:rsidRDefault="00366CB9" w:rsidP="005D05AF">
            <w:pPr>
              <w:pStyle w:val="ListParagraph"/>
              <w:numPr>
                <w:ilvl w:val="0"/>
                <w:numId w:val="6"/>
              </w:numPr>
            </w:pPr>
            <w:r w:rsidRPr="008A15D4">
              <w:t xml:space="preserve">Other ad hoc duties as requested by </w:t>
            </w:r>
            <w:proofErr w:type="spellStart"/>
            <w:r w:rsidRPr="008A15D4">
              <w:t>HoG</w:t>
            </w:r>
            <w:proofErr w:type="spellEnd"/>
          </w:p>
          <w:p w:rsidR="00C16494" w:rsidRPr="008A15D4" w:rsidRDefault="00C16494" w:rsidP="00415CCA">
            <w:pPr>
              <w:pStyle w:val="ListParagraph"/>
            </w:pPr>
          </w:p>
        </w:tc>
      </w:tr>
      <w:tr w:rsidR="00C16494" w:rsidTr="008D6A1F">
        <w:trPr>
          <w:trHeight w:val="312"/>
        </w:trPr>
        <w:tc>
          <w:tcPr>
            <w:tcW w:w="2660" w:type="dxa"/>
          </w:tcPr>
          <w:p w:rsidR="00C16494" w:rsidRPr="008F502A" w:rsidRDefault="00C16494">
            <w:pPr>
              <w:rPr>
                <w:b/>
              </w:rPr>
            </w:pPr>
          </w:p>
        </w:tc>
        <w:tc>
          <w:tcPr>
            <w:tcW w:w="6592" w:type="dxa"/>
          </w:tcPr>
          <w:p w:rsidR="00C16494" w:rsidRPr="008A15D4" w:rsidRDefault="00C16494" w:rsidP="008F502A"/>
        </w:tc>
      </w:tr>
      <w:tr w:rsidR="00C16494" w:rsidTr="008D6A1F">
        <w:trPr>
          <w:trHeight w:val="312"/>
        </w:trPr>
        <w:tc>
          <w:tcPr>
            <w:tcW w:w="2660" w:type="dxa"/>
          </w:tcPr>
          <w:p w:rsidR="00C16494" w:rsidRPr="008F502A" w:rsidRDefault="00C16494">
            <w:pPr>
              <w:rPr>
                <w:b/>
              </w:rPr>
            </w:pPr>
            <w:r w:rsidRPr="008F502A">
              <w:rPr>
                <w:b/>
              </w:rPr>
              <w:t>Essential Qualifications</w:t>
            </w:r>
          </w:p>
        </w:tc>
        <w:tc>
          <w:tcPr>
            <w:tcW w:w="6592" w:type="dxa"/>
          </w:tcPr>
          <w:p w:rsidR="00C16494" w:rsidRPr="008A15D4" w:rsidRDefault="00C16494" w:rsidP="00C16494">
            <w:pPr>
              <w:pStyle w:val="ListParagraph"/>
              <w:numPr>
                <w:ilvl w:val="0"/>
                <w:numId w:val="2"/>
              </w:numPr>
            </w:pPr>
            <w:r w:rsidRPr="008A15D4">
              <w:t>Educated to degree level</w:t>
            </w:r>
            <w:r w:rsidR="007E0B62" w:rsidRPr="008A15D4">
              <w:t xml:space="preserve"> </w:t>
            </w:r>
          </w:p>
        </w:tc>
      </w:tr>
      <w:tr w:rsidR="00C16494" w:rsidTr="008D6A1F">
        <w:trPr>
          <w:trHeight w:val="312"/>
        </w:trPr>
        <w:tc>
          <w:tcPr>
            <w:tcW w:w="2660" w:type="dxa"/>
          </w:tcPr>
          <w:p w:rsidR="00C16494" w:rsidRPr="008F502A" w:rsidRDefault="00C16494">
            <w:pPr>
              <w:rPr>
                <w:b/>
              </w:rPr>
            </w:pPr>
          </w:p>
        </w:tc>
        <w:tc>
          <w:tcPr>
            <w:tcW w:w="6592" w:type="dxa"/>
          </w:tcPr>
          <w:p w:rsidR="00C16494" w:rsidRPr="008A15D4" w:rsidRDefault="00C16494" w:rsidP="00C16494">
            <w:pPr>
              <w:pStyle w:val="ListParagraph"/>
            </w:pPr>
          </w:p>
        </w:tc>
      </w:tr>
      <w:tr w:rsidR="00C16494" w:rsidTr="008D6A1F">
        <w:trPr>
          <w:trHeight w:val="312"/>
        </w:trPr>
        <w:tc>
          <w:tcPr>
            <w:tcW w:w="2660" w:type="dxa"/>
          </w:tcPr>
          <w:p w:rsidR="00C16494" w:rsidRPr="008F502A" w:rsidRDefault="00FE0CA3">
            <w:pPr>
              <w:rPr>
                <w:b/>
              </w:rPr>
            </w:pPr>
            <w:r w:rsidRPr="008F502A">
              <w:rPr>
                <w:b/>
              </w:rPr>
              <w:t>Essential Knowledge, Skills &amp; Experience</w:t>
            </w:r>
          </w:p>
        </w:tc>
        <w:tc>
          <w:tcPr>
            <w:tcW w:w="6592" w:type="dxa"/>
          </w:tcPr>
          <w:p w:rsidR="00C16494" w:rsidRPr="008A15D4" w:rsidRDefault="00CA7519" w:rsidP="00C16494">
            <w:pPr>
              <w:pStyle w:val="ListParagraph"/>
              <w:numPr>
                <w:ilvl w:val="0"/>
                <w:numId w:val="2"/>
              </w:numPr>
            </w:pPr>
            <w:r w:rsidRPr="008A15D4">
              <w:t xml:space="preserve">Excellent </w:t>
            </w:r>
            <w:r w:rsidR="00FE0CA3" w:rsidRPr="008A15D4">
              <w:t>report writing skills</w:t>
            </w:r>
          </w:p>
          <w:p w:rsidR="00FE0CA3" w:rsidRPr="008A15D4" w:rsidRDefault="00366CB9" w:rsidP="00C16494">
            <w:pPr>
              <w:pStyle w:val="ListParagraph"/>
              <w:numPr>
                <w:ilvl w:val="0"/>
                <w:numId w:val="2"/>
              </w:numPr>
            </w:pPr>
            <w:r w:rsidRPr="008A15D4">
              <w:t>Ability to summarise, prioritise  and present information to  varying audiences</w:t>
            </w:r>
          </w:p>
          <w:p w:rsidR="00FE0CA3" w:rsidRPr="008A15D4" w:rsidRDefault="00FE0CA3" w:rsidP="00C16494">
            <w:pPr>
              <w:pStyle w:val="ListParagraph"/>
              <w:numPr>
                <w:ilvl w:val="0"/>
                <w:numId w:val="2"/>
              </w:numPr>
            </w:pPr>
            <w:r w:rsidRPr="008A15D4">
              <w:t>Excellent communication and relationship skills</w:t>
            </w:r>
          </w:p>
          <w:p w:rsidR="00FE0CA3" w:rsidRPr="008A15D4" w:rsidRDefault="00FE0CA3" w:rsidP="00C16494">
            <w:pPr>
              <w:pStyle w:val="ListParagraph"/>
              <w:numPr>
                <w:ilvl w:val="0"/>
                <w:numId w:val="2"/>
              </w:numPr>
            </w:pPr>
            <w:r w:rsidRPr="008A15D4">
              <w:t>Excellent IT skills</w:t>
            </w:r>
            <w:r w:rsidR="00CA7519" w:rsidRPr="008A15D4">
              <w:t xml:space="preserve">, including Word, Excel and </w:t>
            </w:r>
            <w:proofErr w:type="spellStart"/>
            <w:r w:rsidR="00CA7519" w:rsidRPr="008A15D4">
              <w:t>Powerpoint</w:t>
            </w:r>
            <w:proofErr w:type="spellEnd"/>
          </w:p>
          <w:p w:rsidR="00FE0CA3" w:rsidRPr="008A15D4" w:rsidRDefault="00FE0CA3" w:rsidP="00C16494">
            <w:pPr>
              <w:pStyle w:val="ListParagraph"/>
              <w:numPr>
                <w:ilvl w:val="0"/>
                <w:numId w:val="2"/>
              </w:numPr>
            </w:pPr>
            <w:r w:rsidRPr="008A15D4">
              <w:t>Excellent ability t</w:t>
            </w:r>
            <w:r w:rsidR="00366CB9" w:rsidRPr="008A15D4">
              <w:t>o gather stats and report</w:t>
            </w:r>
            <w:r w:rsidRPr="008A15D4">
              <w:t xml:space="preserve"> meaningful information</w:t>
            </w:r>
          </w:p>
          <w:p w:rsidR="00FE0CA3" w:rsidRPr="008A15D4" w:rsidRDefault="00CA7519" w:rsidP="00C16494">
            <w:pPr>
              <w:pStyle w:val="ListParagraph"/>
              <w:numPr>
                <w:ilvl w:val="0"/>
                <w:numId w:val="2"/>
              </w:numPr>
            </w:pPr>
            <w:r w:rsidRPr="008A15D4">
              <w:t>Pro-active and uses own initiative with a determination to put the needs of the</w:t>
            </w:r>
            <w:r w:rsidR="00366CB9" w:rsidRPr="008A15D4">
              <w:t xml:space="preserve"> Wounded, Injured and Sick at the heart of the role</w:t>
            </w:r>
          </w:p>
          <w:p w:rsidR="00CA7519" w:rsidRPr="008A15D4" w:rsidRDefault="00CA7519" w:rsidP="00C16494">
            <w:pPr>
              <w:pStyle w:val="ListParagraph"/>
              <w:numPr>
                <w:ilvl w:val="0"/>
                <w:numId w:val="2"/>
              </w:numPr>
            </w:pPr>
            <w:r w:rsidRPr="008A15D4">
              <w:t>Ability to work well under pressure and willing to get</w:t>
            </w:r>
            <w:r w:rsidR="00366CB9" w:rsidRPr="008A15D4">
              <w:t xml:space="preserve"> stuck</w:t>
            </w:r>
            <w:r w:rsidRPr="008A15D4">
              <w:t xml:space="preserve"> in, when necessary, to get the job done</w:t>
            </w:r>
          </w:p>
          <w:p w:rsidR="00CA7519" w:rsidRPr="008A15D4" w:rsidRDefault="00366CB9" w:rsidP="00C16494">
            <w:pPr>
              <w:pStyle w:val="ListParagraph"/>
              <w:numPr>
                <w:ilvl w:val="0"/>
                <w:numId w:val="2"/>
              </w:numPr>
            </w:pPr>
            <w:r w:rsidRPr="008A15D4">
              <w:t>An</w:t>
            </w:r>
            <w:r w:rsidR="00CA7519" w:rsidRPr="008A15D4">
              <w:t xml:space="preserve"> effective team player with excellent interpersonal skills</w:t>
            </w:r>
          </w:p>
          <w:p w:rsidR="00FE0CA3" w:rsidRPr="008F502A" w:rsidRDefault="00CA7519" w:rsidP="00CA7519">
            <w:pPr>
              <w:pStyle w:val="ListParagraph"/>
              <w:numPr>
                <w:ilvl w:val="0"/>
                <w:numId w:val="2"/>
              </w:numPr>
            </w:pPr>
            <w:r w:rsidRPr="008A15D4">
              <w:t>Experience of working in a busy, fast-paced environment, preferably within the third sector</w:t>
            </w:r>
            <w:r w:rsidR="00751F8D" w:rsidRPr="008A15D4">
              <w:t xml:space="preserve"> </w:t>
            </w:r>
          </w:p>
        </w:tc>
      </w:tr>
      <w:tr w:rsidR="00FE0CA3" w:rsidTr="008D6A1F">
        <w:trPr>
          <w:trHeight w:val="312"/>
        </w:trPr>
        <w:tc>
          <w:tcPr>
            <w:tcW w:w="2660" w:type="dxa"/>
          </w:tcPr>
          <w:p w:rsidR="00FE0CA3" w:rsidRPr="008F502A" w:rsidRDefault="00FE0CA3">
            <w:pPr>
              <w:rPr>
                <w:b/>
              </w:rPr>
            </w:pPr>
          </w:p>
        </w:tc>
        <w:tc>
          <w:tcPr>
            <w:tcW w:w="6592" w:type="dxa"/>
          </w:tcPr>
          <w:p w:rsidR="00FE0CA3" w:rsidRPr="008A15D4" w:rsidRDefault="00FE0CA3" w:rsidP="00FE0CA3"/>
        </w:tc>
      </w:tr>
      <w:tr w:rsidR="00FE0CA3" w:rsidTr="008D6A1F">
        <w:trPr>
          <w:trHeight w:val="312"/>
        </w:trPr>
        <w:tc>
          <w:tcPr>
            <w:tcW w:w="2660" w:type="dxa"/>
          </w:tcPr>
          <w:p w:rsidR="00FE0CA3" w:rsidRPr="008F502A" w:rsidRDefault="00FE0CA3">
            <w:pPr>
              <w:rPr>
                <w:b/>
              </w:rPr>
            </w:pPr>
            <w:r w:rsidRPr="008F502A">
              <w:rPr>
                <w:b/>
              </w:rPr>
              <w:t>Desirable Knowledge, Skills &amp; Experience</w:t>
            </w:r>
          </w:p>
        </w:tc>
        <w:tc>
          <w:tcPr>
            <w:tcW w:w="6592" w:type="dxa"/>
          </w:tcPr>
          <w:p w:rsidR="00FE0CA3" w:rsidRPr="008A15D4" w:rsidRDefault="00FE0CA3" w:rsidP="00C16494">
            <w:pPr>
              <w:pStyle w:val="ListParagraph"/>
              <w:numPr>
                <w:ilvl w:val="0"/>
                <w:numId w:val="2"/>
              </w:numPr>
            </w:pPr>
            <w:r w:rsidRPr="008A15D4">
              <w:t xml:space="preserve">Knowledge of Welfare </w:t>
            </w:r>
            <w:r w:rsidR="00D56771">
              <w:t>provision</w:t>
            </w:r>
          </w:p>
          <w:p w:rsidR="00CA7519" w:rsidRPr="008A15D4" w:rsidRDefault="00FE0CA3" w:rsidP="008F502A">
            <w:pPr>
              <w:pStyle w:val="ListParagraph"/>
              <w:numPr>
                <w:ilvl w:val="0"/>
                <w:numId w:val="2"/>
              </w:numPr>
            </w:pPr>
            <w:r w:rsidRPr="008A15D4">
              <w:t>Knowledge of other Grant Giving Programmes</w:t>
            </w:r>
          </w:p>
        </w:tc>
      </w:tr>
      <w:tr w:rsidR="00FE0CA3" w:rsidTr="008D6A1F">
        <w:trPr>
          <w:trHeight w:val="312"/>
        </w:trPr>
        <w:tc>
          <w:tcPr>
            <w:tcW w:w="2660" w:type="dxa"/>
          </w:tcPr>
          <w:p w:rsidR="00FE0CA3" w:rsidRPr="008F502A" w:rsidRDefault="00FE0CA3">
            <w:pPr>
              <w:rPr>
                <w:b/>
              </w:rPr>
            </w:pPr>
          </w:p>
        </w:tc>
        <w:tc>
          <w:tcPr>
            <w:tcW w:w="6592" w:type="dxa"/>
          </w:tcPr>
          <w:p w:rsidR="00FE0CA3" w:rsidRPr="008A15D4" w:rsidRDefault="00FE0CA3" w:rsidP="008F502A">
            <w:pPr>
              <w:pStyle w:val="ListParagraph"/>
            </w:pPr>
          </w:p>
        </w:tc>
      </w:tr>
      <w:tr w:rsidR="00FE0CA3" w:rsidTr="008D6A1F">
        <w:trPr>
          <w:trHeight w:val="312"/>
        </w:trPr>
        <w:tc>
          <w:tcPr>
            <w:tcW w:w="2660" w:type="dxa"/>
          </w:tcPr>
          <w:p w:rsidR="00FE0CA3" w:rsidRPr="008F502A" w:rsidRDefault="00FE0CA3">
            <w:pPr>
              <w:rPr>
                <w:b/>
              </w:rPr>
            </w:pPr>
            <w:r w:rsidRPr="008F502A">
              <w:rPr>
                <w:b/>
              </w:rPr>
              <w:t>Key Competencies &amp; Behaviours</w:t>
            </w:r>
          </w:p>
        </w:tc>
        <w:tc>
          <w:tcPr>
            <w:tcW w:w="6592" w:type="dxa"/>
          </w:tcPr>
          <w:p w:rsidR="00CA7519" w:rsidRPr="008A15D4" w:rsidRDefault="00CA7519" w:rsidP="00CA751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8A15D4">
              <w:rPr>
                <w:rFonts w:asciiTheme="minorHAnsi" w:hAnsiTheme="minorHAnsi"/>
                <w:sz w:val="22"/>
                <w:szCs w:val="22"/>
              </w:rPr>
              <w:t>Demonstrates t</w:t>
            </w:r>
            <w:r w:rsidR="00366CB9" w:rsidRPr="008A15D4">
              <w:rPr>
                <w:rFonts w:asciiTheme="minorHAnsi" w:hAnsiTheme="minorHAnsi"/>
                <w:sz w:val="22"/>
                <w:szCs w:val="22"/>
              </w:rPr>
              <w:t>he ability to build rapport</w:t>
            </w:r>
            <w:r w:rsidRPr="008A15D4">
              <w:rPr>
                <w:rFonts w:asciiTheme="minorHAnsi" w:hAnsiTheme="minorHAnsi"/>
                <w:sz w:val="22"/>
                <w:szCs w:val="22"/>
              </w:rPr>
              <w:t xml:space="preserve"> quickly and to understand needs, wants and expectations </w:t>
            </w:r>
          </w:p>
          <w:p w:rsidR="00CA7519" w:rsidRPr="008A15D4" w:rsidRDefault="00CA7519" w:rsidP="00CA751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8A15D4">
              <w:rPr>
                <w:rFonts w:asciiTheme="minorHAnsi" w:hAnsiTheme="minorHAnsi"/>
                <w:sz w:val="22"/>
                <w:szCs w:val="22"/>
              </w:rPr>
              <w:t xml:space="preserve">Displays a positive, empathetic, patient, polite and friendly manner </w:t>
            </w:r>
          </w:p>
          <w:p w:rsidR="00CA7519" w:rsidRPr="008A15D4" w:rsidRDefault="00CA7519" w:rsidP="00CA751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8A15D4">
              <w:rPr>
                <w:rFonts w:asciiTheme="minorHAnsi" w:hAnsiTheme="minorHAnsi"/>
                <w:sz w:val="22"/>
                <w:szCs w:val="22"/>
              </w:rPr>
              <w:t xml:space="preserve">Manage challenging situations in a calm and appropriate manner </w:t>
            </w:r>
          </w:p>
          <w:p w:rsidR="00CA7519" w:rsidRPr="008A15D4" w:rsidRDefault="00CA7519" w:rsidP="00CA751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8A15D4">
              <w:rPr>
                <w:rFonts w:asciiTheme="minorHAnsi" w:hAnsiTheme="minorHAnsi"/>
                <w:sz w:val="22"/>
                <w:szCs w:val="22"/>
              </w:rPr>
              <w:t xml:space="preserve">Ability to remain calm under pressure </w:t>
            </w:r>
          </w:p>
          <w:p w:rsidR="00CA7519" w:rsidRPr="008A15D4" w:rsidRDefault="00CA7519" w:rsidP="00CA751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8A15D4">
              <w:rPr>
                <w:rFonts w:asciiTheme="minorHAnsi" w:hAnsiTheme="minorHAnsi"/>
                <w:sz w:val="22"/>
                <w:szCs w:val="22"/>
              </w:rPr>
              <w:t xml:space="preserve">Displays the highest levels of integrity, confidentiality and commitment </w:t>
            </w:r>
          </w:p>
          <w:p w:rsidR="00CA7519" w:rsidRPr="008A15D4" w:rsidRDefault="00CA7519" w:rsidP="00CA751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8A15D4">
              <w:rPr>
                <w:rFonts w:asciiTheme="minorHAnsi" w:hAnsiTheme="minorHAnsi"/>
                <w:sz w:val="22"/>
                <w:szCs w:val="22"/>
              </w:rPr>
              <w:t xml:space="preserve">Respond quickly to changing demands and demonstrate strong skills in prioritisation and time management </w:t>
            </w:r>
          </w:p>
          <w:p w:rsidR="00CA7519" w:rsidRPr="008A15D4" w:rsidRDefault="00CA7519" w:rsidP="00CA751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8A15D4">
              <w:rPr>
                <w:rFonts w:asciiTheme="minorHAnsi" w:hAnsiTheme="minorHAnsi"/>
                <w:sz w:val="22"/>
                <w:szCs w:val="22"/>
              </w:rPr>
              <w:t xml:space="preserve">Work within a range of environments and working cultures, adapting personal style accordingly </w:t>
            </w:r>
          </w:p>
          <w:p w:rsidR="00CA7519" w:rsidRPr="008A15D4" w:rsidRDefault="00CA7519" w:rsidP="00CA751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8A15D4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Lead and drive work forward with minimal direction </w:t>
            </w:r>
          </w:p>
          <w:p w:rsidR="00CA7519" w:rsidRPr="008A15D4" w:rsidRDefault="00CA7519" w:rsidP="00CA751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8A15D4">
              <w:rPr>
                <w:rFonts w:asciiTheme="minorHAnsi" w:hAnsiTheme="minorHAnsi"/>
                <w:sz w:val="22"/>
                <w:szCs w:val="22"/>
              </w:rPr>
              <w:t xml:space="preserve">Well organised with the ability to prioritise </w:t>
            </w:r>
          </w:p>
          <w:p w:rsidR="00CA7519" w:rsidRPr="008A15D4" w:rsidRDefault="00CA7519" w:rsidP="00CA751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8A15D4">
              <w:rPr>
                <w:rFonts w:asciiTheme="minorHAnsi" w:hAnsiTheme="minorHAnsi"/>
                <w:sz w:val="22"/>
                <w:szCs w:val="22"/>
              </w:rPr>
              <w:t xml:space="preserve">Attention to detail in all aspects of work </w:t>
            </w:r>
          </w:p>
          <w:p w:rsidR="00CA7519" w:rsidRPr="008A15D4" w:rsidRDefault="00CA7519" w:rsidP="00CA751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8A15D4">
              <w:rPr>
                <w:rFonts w:asciiTheme="minorHAnsi" w:hAnsiTheme="minorHAnsi"/>
                <w:sz w:val="22"/>
                <w:szCs w:val="22"/>
              </w:rPr>
              <w:t xml:space="preserve">Demonstrates an ability to work as part of a team and be a flexible team player </w:t>
            </w:r>
          </w:p>
          <w:p w:rsidR="00CA7519" w:rsidRPr="008A15D4" w:rsidRDefault="00CA7519" w:rsidP="00CA751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8A15D4">
              <w:rPr>
                <w:rFonts w:asciiTheme="minorHAnsi" w:hAnsiTheme="minorHAnsi"/>
                <w:sz w:val="22"/>
                <w:szCs w:val="22"/>
              </w:rPr>
              <w:t xml:space="preserve">Demonstrates self-motivation </w:t>
            </w:r>
          </w:p>
          <w:p w:rsidR="00FE0CA3" w:rsidRPr="008F502A" w:rsidRDefault="00CA7519" w:rsidP="008F502A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8A15D4">
              <w:rPr>
                <w:rFonts w:asciiTheme="minorHAnsi" w:hAnsiTheme="minorHAnsi"/>
                <w:sz w:val="22"/>
                <w:szCs w:val="22"/>
              </w:rPr>
              <w:t xml:space="preserve">Flexible re. hours of work </w:t>
            </w:r>
          </w:p>
        </w:tc>
      </w:tr>
      <w:tr w:rsidR="008D6A1F" w:rsidRPr="002213CA" w:rsidTr="008D6A1F">
        <w:tc>
          <w:tcPr>
            <w:tcW w:w="2660" w:type="dxa"/>
          </w:tcPr>
          <w:p w:rsidR="008D6A1F" w:rsidRDefault="008D6A1F" w:rsidP="00B23114">
            <w:pPr>
              <w:rPr>
                <w:b/>
                <w:bCs/>
              </w:rPr>
            </w:pPr>
          </w:p>
          <w:p w:rsidR="008D6A1F" w:rsidRDefault="008D6A1F" w:rsidP="00B23114">
            <w:pPr>
              <w:rPr>
                <w:b/>
                <w:bCs/>
              </w:rPr>
            </w:pPr>
            <w:r>
              <w:rPr>
                <w:b/>
                <w:bCs/>
              </w:rPr>
              <w:t>Guiding Principles</w:t>
            </w:r>
          </w:p>
        </w:tc>
        <w:tc>
          <w:tcPr>
            <w:tcW w:w="6592" w:type="dxa"/>
          </w:tcPr>
          <w:p w:rsidR="008D6A1F" w:rsidRDefault="008D6A1F" w:rsidP="00B23114"/>
          <w:p w:rsidR="008D6A1F" w:rsidRPr="008D6A1F" w:rsidRDefault="008D6A1F" w:rsidP="008D6A1F">
            <w:r w:rsidRPr="004C3C18">
              <w:t>All element</w:t>
            </w:r>
            <w:r>
              <w:t>s</w:t>
            </w:r>
            <w:r w:rsidRPr="004C3C18">
              <w:t xml:space="preserve"> of </w:t>
            </w:r>
            <w:r>
              <w:t xml:space="preserve"> your delivery of </w:t>
            </w:r>
            <w:r w:rsidRPr="004C3C18">
              <w:t xml:space="preserve">the Job Description must </w:t>
            </w:r>
            <w:r>
              <w:t>encapsulate :</w:t>
            </w:r>
          </w:p>
          <w:p w:rsidR="008D6A1F" w:rsidRPr="004A6262" w:rsidRDefault="008D6A1F" w:rsidP="008D6A1F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       </w:t>
            </w:r>
            <w:r w:rsidRPr="004A6262">
              <w:rPr>
                <w:rFonts w:cs="Arial"/>
                <w:b/>
                <w:color w:val="000000" w:themeColor="text1"/>
              </w:rPr>
              <w:t>Best In Class</w:t>
            </w:r>
          </w:p>
          <w:p w:rsidR="008D6A1F" w:rsidRPr="004A6262" w:rsidRDefault="008D6A1F" w:rsidP="00B23114">
            <w:pPr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>We must remain fresh, well-informed and innovative in our approach so that we can consistently develop best-in-class support services for our WIS and their families. We must invest in our staff as it is they who will make the difference</w:t>
            </w:r>
            <w:r>
              <w:rPr>
                <w:rFonts w:cs="Arial"/>
              </w:rPr>
              <w:t>.</w:t>
            </w:r>
          </w:p>
          <w:p w:rsidR="008D6A1F" w:rsidRPr="004A6262" w:rsidRDefault="008D6A1F" w:rsidP="00B23114">
            <w:pPr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It’s about the blokes</w:t>
            </w:r>
          </w:p>
          <w:p w:rsidR="008D6A1F" w:rsidRDefault="008D6A1F" w:rsidP="00B23114">
            <w:pPr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 xml:space="preserve">              The  WIS and their fa</w:t>
            </w:r>
            <w:r>
              <w:rPr>
                <w:rFonts w:cs="Arial"/>
              </w:rPr>
              <w:t xml:space="preserve">milies must remain the focus of  </w:t>
            </w:r>
          </w:p>
          <w:p w:rsidR="008D6A1F" w:rsidRPr="004A6262" w:rsidRDefault="008D6A1F" w:rsidP="00B231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   </w:t>
            </w:r>
            <w:r w:rsidRPr="004A6262">
              <w:rPr>
                <w:rFonts w:cs="Arial"/>
              </w:rPr>
              <w:t>everything we do</w:t>
            </w:r>
          </w:p>
          <w:p w:rsidR="008D6A1F" w:rsidRPr="004A6262" w:rsidRDefault="008D6A1F" w:rsidP="00B23114">
            <w:pPr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>Support to families is as important as support to the WIS</w:t>
            </w:r>
            <w:r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>We must maintain the personal touch and give the WIS and their families our personal attention</w:t>
            </w:r>
            <w:r>
              <w:rPr>
                <w:rFonts w:cs="Arial"/>
              </w:rPr>
              <w:t>.</w:t>
            </w:r>
          </w:p>
          <w:p w:rsidR="008D6A1F" w:rsidRPr="004A6262" w:rsidRDefault="008D6A1F" w:rsidP="00B23114">
            <w:pPr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Can Do</w:t>
            </w:r>
          </w:p>
          <w:p w:rsidR="008D6A1F" w:rsidRPr="004A6262" w:rsidRDefault="008D6A1F" w:rsidP="00B23114">
            <w:pPr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>We must remain easy to access for our beneficiaries and easy to do business with for our partners and other H4H staff.</w:t>
            </w:r>
            <w:r>
              <w:rPr>
                <w:rFonts w:cs="Arial"/>
              </w:rPr>
              <w:t xml:space="preserve"> </w:t>
            </w:r>
            <w:r w:rsidRPr="004A6262">
              <w:rPr>
                <w:rFonts w:cs="Arial"/>
              </w:rPr>
              <w:t>We must remain a ‘can-do’ organisation that will find a single reason to make something happen, not 100 reasons to stop it. ‘Can, not can’t; will, not won’t; why not, not why</w:t>
            </w:r>
            <w:r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>’We must remain efficient and not bureaucratic.</w:t>
            </w:r>
          </w:p>
          <w:p w:rsidR="008D6A1F" w:rsidRPr="004A6262" w:rsidRDefault="008D6A1F" w:rsidP="00B23114">
            <w:pPr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One Team</w:t>
            </w:r>
          </w:p>
          <w:p w:rsidR="008D6A1F" w:rsidRPr="004A6262" w:rsidRDefault="008D6A1F" w:rsidP="00B23114">
            <w:pPr>
              <w:ind w:left="720"/>
              <w:jc w:val="both"/>
              <w:rPr>
                <w:rFonts w:cs="Arial"/>
              </w:rPr>
            </w:pPr>
            <w:r>
              <w:rPr>
                <w:rFonts w:cs="Arial"/>
              </w:rPr>
              <w:t>Regardless of where you work or what you do in H4H, w</w:t>
            </w:r>
            <w:r w:rsidRPr="004A6262">
              <w:rPr>
                <w:rFonts w:cs="Arial"/>
              </w:rPr>
              <w:t>e must work as a team to deliver the best possible holistic support and services to our WIS and their families today and into the future, and to develop our services over time</w:t>
            </w:r>
            <w:r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>We expect the highest standards of competence, commitment and personal conduct from H4H staff in their dealings with the WIS and their families, our partner organisations, and each other</w:t>
            </w:r>
            <w:r>
              <w:rPr>
                <w:rFonts w:cs="Arial"/>
              </w:rPr>
              <w:t>.</w:t>
            </w:r>
          </w:p>
          <w:p w:rsidR="008D6A1F" w:rsidRPr="004C3C18" w:rsidRDefault="008D6A1F" w:rsidP="00B23114"/>
        </w:tc>
      </w:tr>
    </w:tbl>
    <w:p w:rsidR="00C16494" w:rsidRDefault="00C16494"/>
    <w:sectPr w:rsidR="00C16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0F75"/>
    <w:multiLevelType w:val="hybridMultilevel"/>
    <w:tmpl w:val="627E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61827"/>
    <w:multiLevelType w:val="hybridMultilevel"/>
    <w:tmpl w:val="9FEA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001F5"/>
    <w:multiLevelType w:val="hybridMultilevel"/>
    <w:tmpl w:val="73E49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C55B4"/>
    <w:multiLevelType w:val="hybridMultilevel"/>
    <w:tmpl w:val="6838C3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4167C"/>
    <w:multiLevelType w:val="hybridMultilevel"/>
    <w:tmpl w:val="7A082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665AA"/>
    <w:multiLevelType w:val="hybridMultilevel"/>
    <w:tmpl w:val="7242B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173D8"/>
    <w:multiLevelType w:val="multilevel"/>
    <w:tmpl w:val="C9929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94"/>
    <w:rsid w:val="00347A8B"/>
    <w:rsid w:val="00366CB9"/>
    <w:rsid w:val="003F1B9D"/>
    <w:rsid w:val="00415CCA"/>
    <w:rsid w:val="00510EF9"/>
    <w:rsid w:val="005D05AF"/>
    <w:rsid w:val="00751F8D"/>
    <w:rsid w:val="007E0B62"/>
    <w:rsid w:val="007E55EE"/>
    <w:rsid w:val="00817E22"/>
    <w:rsid w:val="008A10EF"/>
    <w:rsid w:val="008A15D4"/>
    <w:rsid w:val="008D6A1F"/>
    <w:rsid w:val="008F502A"/>
    <w:rsid w:val="00C16494"/>
    <w:rsid w:val="00C40BD9"/>
    <w:rsid w:val="00CA7519"/>
    <w:rsid w:val="00D56771"/>
    <w:rsid w:val="00D5699A"/>
    <w:rsid w:val="00FE0CA3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A859D8-E6C4-43A0-9C8B-1235520F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494"/>
    <w:pPr>
      <w:ind w:left="720"/>
      <w:contextualSpacing/>
    </w:pPr>
  </w:style>
  <w:style w:type="paragraph" w:customStyle="1" w:styleId="Default">
    <w:name w:val="Default"/>
    <w:rsid w:val="00FE0C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Help for Heroes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Walton</dc:creator>
  <cp:lastModifiedBy>Lucinda Crowe</cp:lastModifiedBy>
  <cp:revision>2</cp:revision>
  <dcterms:created xsi:type="dcterms:W3CDTF">2017-10-04T13:44:00Z</dcterms:created>
  <dcterms:modified xsi:type="dcterms:W3CDTF">2017-10-04T13:44:00Z</dcterms:modified>
</cp:coreProperties>
</file>