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B6" w:rsidRPr="00D91D7B" w:rsidRDefault="006077B6" w:rsidP="006077B6">
      <w:pPr>
        <w:rPr>
          <w:b/>
          <w:sz w:val="22"/>
          <w:szCs w:val="22"/>
        </w:rPr>
      </w:pPr>
      <w:r w:rsidRPr="00D91D7B">
        <w:rPr>
          <w:b/>
          <w:sz w:val="22"/>
          <w:szCs w:val="22"/>
        </w:rPr>
        <w:t xml:space="preserve">Veterans Advisory &amp; Pensions Committee (VAPC) </w:t>
      </w:r>
      <w:r>
        <w:rPr>
          <w:b/>
          <w:sz w:val="22"/>
          <w:szCs w:val="22"/>
        </w:rPr>
        <w:t>–</w:t>
      </w:r>
      <w:r w:rsidRPr="00D91D7B">
        <w:rPr>
          <w:b/>
          <w:sz w:val="22"/>
          <w:szCs w:val="22"/>
        </w:rPr>
        <w:t xml:space="preserve">Appointment of </w:t>
      </w:r>
      <w:r>
        <w:rPr>
          <w:b/>
          <w:sz w:val="22"/>
          <w:szCs w:val="22"/>
        </w:rPr>
        <w:t>M</w:t>
      </w:r>
      <w:r w:rsidRPr="00D91D7B">
        <w:rPr>
          <w:b/>
          <w:sz w:val="22"/>
          <w:szCs w:val="22"/>
        </w:rPr>
        <w:t>embers</w:t>
      </w:r>
      <w:r>
        <w:rPr>
          <w:b/>
          <w:sz w:val="22"/>
          <w:szCs w:val="22"/>
        </w:rPr>
        <w:t xml:space="preserve"> - National</w:t>
      </w:r>
    </w:p>
    <w:p w:rsidR="006077B6" w:rsidRPr="00475E99" w:rsidRDefault="006077B6" w:rsidP="006077B6">
      <w:pPr>
        <w:pStyle w:val="Title"/>
        <w:rPr>
          <w:rFonts w:ascii="Comic Sans MS" w:hAnsi="Comic Sans MS"/>
          <w:color w:val="0000FF"/>
          <w:sz w:val="22"/>
          <w:szCs w:val="22"/>
        </w:rPr>
      </w:pPr>
    </w:p>
    <w:p w:rsidR="006077B6" w:rsidRPr="00475E99" w:rsidRDefault="006077B6" w:rsidP="006077B6">
      <w:pPr>
        <w:pStyle w:val="Heading5"/>
        <w:rPr>
          <w:sz w:val="22"/>
          <w:szCs w:val="22"/>
          <w:u w:val="none"/>
        </w:rPr>
      </w:pPr>
      <w:r w:rsidRPr="00475E99">
        <w:rPr>
          <w:sz w:val="22"/>
          <w:szCs w:val="22"/>
          <w:u w:val="none"/>
        </w:rPr>
        <w:t xml:space="preserve">The Minister for </w:t>
      </w:r>
      <w:r>
        <w:rPr>
          <w:sz w:val="22"/>
          <w:szCs w:val="22"/>
          <w:u w:val="none"/>
        </w:rPr>
        <w:t>Defence Personnel and Veterans</w:t>
      </w:r>
      <w:r w:rsidRPr="00475E99">
        <w:rPr>
          <w:sz w:val="22"/>
          <w:szCs w:val="22"/>
          <w:u w:val="none"/>
        </w:rPr>
        <w:t xml:space="preserve"> is seeking to make the above voluntary public appointments. Are you the person we need, can you carry out the functions and duties? Then apply as below:-</w:t>
      </w:r>
    </w:p>
    <w:p w:rsidR="006077B6" w:rsidRPr="00475E99" w:rsidRDefault="006077B6" w:rsidP="006077B6">
      <w:pPr>
        <w:pStyle w:val="Heading2"/>
        <w:rPr>
          <w:sz w:val="22"/>
          <w:szCs w:val="22"/>
        </w:rPr>
      </w:pPr>
    </w:p>
    <w:p w:rsidR="006077B6" w:rsidRPr="00475E99" w:rsidRDefault="006077B6" w:rsidP="006077B6">
      <w:pPr>
        <w:pStyle w:val="Heading2"/>
        <w:rPr>
          <w:sz w:val="22"/>
          <w:szCs w:val="22"/>
          <w:u w:val="none"/>
        </w:rPr>
      </w:pPr>
      <w:r w:rsidRPr="00475E99">
        <w:rPr>
          <w:sz w:val="22"/>
          <w:szCs w:val="22"/>
          <w:u w:val="none"/>
        </w:rPr>
        <w:t>Functions</w:t>
      </w:r>
    </w:p>
    <w:p w:rsidR="006077B6" w:rsidRPr="00475E99" w:rsidRDefault="006077B6" w:rsidP="006077B6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475E99">
        <w:rPr>
          <w:sz w:val="22"/>
          <w:szCs w:val="22"/>
        </w:rPr>
        <w:t xml:space="preserve">Veterans Advisory &amp; Pensions Committee </w:t>
      </w:r>
      <w:r>
        <w:rPr>
          <w:sz w:val="22"/>
          <w:szCs w:val="22"/>
        </w:rPr>
        <w:t>is a</w:t>
      </w:r>
      <w:r w:rsidRPr="00475E99">
        <w:rPr>
          <w:sz w:val="22"/>
          <w:szCs w:val="22"/>
        </w:rPr>
        <w:t xml:space="preserve"> Non-Departmental Public Body </w:t>
      </w:r>
      <w:r>
        <w:rPr>
          <w:sz w:val="22"/>
          <w:szCs w:val="22"/>
        </w:rPr>
        <w:t>divided into 13 regional committees.</w:t>
      </w:r>
      <w:r w:rsidRPr="005A03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12 of the 13 regions are seeking new </w:t>
      </w:r>
      <w:proofErr w:type="spellStart"/>
      <w:r>
        <w:rPr>
          <w:sz w:val="22"/>
          <w:szCs w:val="22"/>
        </w:rPr>
        <w:t>MembersEach</w:t>
      </w:r>
      <w:proofErr w:type="spellEnd"/>
      <w:r>
        <w:rPr>
          <w:sz w:val="22"/>
          <w:szCs w:val="22"/>
        </w:rPr>
        <w:t xml:space="preserve"> Committee’s </w:t>
      </w:r>
      <w:r w:rsidRPr="00475E99">
        <w:rPr>
          <w:sz w:val="22"/>
          <w:szCs w:val="22"/>
        </w:rPr>
        <w:t>main function</w:t>
      </w:r>
      <w:r>
        <w:rPr>
          <w:sz w:val="22"/>
          <w:szCs w:val="22"/>
        </w:rPr>
        <w:t>s</w:t>
      </w:r>
      <w:r w:rsidRPr="00475E99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Pr="00475E99">
        <w:rPr>
          <w:sz w:val="22"/>
          <w:szCs w:val="22"/>
        </w:rPr>
        <w:t xml:space="preserve"> to:</w:t>
      </w:r>
    </w:p>
    <w:p w:rsidR="006077B6" w:rsidRDefault="006077B6" w:rsidP="006077B6">
      <w:pPr>
        <w:numPr>
          <w:ilvl w:val="0"/>
          <w:numId w:val="1"/>
        </w:numPr>
        <w:tabs>
          <w:tab w:val="clear" w:pos="720"/>
          <w:tab w:val="num" w:pos="862"/>
        </w:tabs>
        <w:ind w:left="862"/>
        <w:rPr>
          <w:sz w:val="22"/>
          <w:szCs w:val="22"/>
        </w:rPr>
      </w:pPr>
      <w:r w:rsidRPr="00475E99">
        <w:rPr>
          <w:sz w:val="22"/>
          <w:szCs w:val="22"/>
        </w:rPr>
        <w:t xml:space="preserve">act as </w:t>
      </w:r>
      <w:r w:rsidRPr="00475E99">
        <w:rPr>
          <w:b/>
          <w:sz w:val="22"/>
          <w:szCs w:val="22"/>
        </w:rPr>
        <w:t>advocates</w:t>
      </w:r>
      <w:r w:rsidRPr="00475E99">
        <w:rPr>
          <w:sz w:val="22"/>
          <w:szCs w:val="22"/>
        </w:rPr>
        <w:t xml:space="preserve"> for implementing the </w:t>
      </w:r>
      <w:r>
        <w:rPr>
          <w:sz w:val="22"/>
          <w:szCs w:val="22"/>
        </w:rPr>
        <w:t>Armed Forces Covenant (</w:t>
      </w:r>
      <w:hyperlink r:id="rId6" w:history="1">
        <w:r w:rsidRPr="0091407E">
          <w:rPr>
            <w:rStyle w:val="Hyperlink"/>
            <w:sz w:val="22"/>
            <w:szCs w:val="22"/>
          </w:rPr>
          <w:t>https://www.gov.uk/the-armed-forces-covenant</w:t>
        </w:r>
      </w:hyperlink>
      <w:r>
        <w:rPr>
          <w:sz w:val="22"/>
          <w:szCs w:val="22"/>
        </w:rPr>
        <w:t>) and work in partnership with local authorities and other stakeholders to develop and deliver associated measures associated measures within the region</w:t>
      </w:r>
    </w:p>
    <w:p w:rsidR="006077B6" w:rsidRPr="00475E99" w:rsidRDefault="006077B6" w:rsidP="006077B6">
      <w:pPr>
        <w:numPr>
          <w:ilvl w:val="0"/>
          <w:numId w:val="1"/>
        </w:numPr>
        <w:tabs>
          <w:tab w:val="clear" w:pos="720"/>
          <w:tab w:val="num" w:pos="862"/>
        </w:tabs>
        <w:ind w:left="862"/>
        <w:rPr>
          <w:sz w:val="22"/>
          <w:szCs w:val="22"/>
        </w:rPr>
      </w:pPr>
      <w:r w:rsidRPr="00475E99">
        <w:rPr>
          <w:sz w:val="22"/>
          <w:szCs w:val="22"/>
        </w:rPr>
        <w:t xml:space="preserve">raise </w:t>
      </w:r>
      <w:r w:rsidRPr="00475E99">
        <w:rPr>
          <w:b/>
          <w:sz w:val="22"/>
          <w:szCs w:val="22"/>
        </w:rPr>
        <w:t>awareness</w:t>
      </w:r>
      <w:r w:rsidRPr="00475E99">
        <w:rPr>
          <w:sz w:val="22"/>
          <w:szCs w:val="22"/>
        </w:rPr>
        <w:t>, within their</w:t>
      </w:r>
      <w:r>
        <w:rPr>
          <w:sz w:val="22"/>
          <w:szCs w:val="22"/>
        </w:rPr>
        <w:t xml:space="preserve"> region</w:t>
      </w:r>
      <w:r w:rsidRPr="00475E99">
        <w:rPr>
          <w:sz w:val="22"/>
          <w:szCs w:val="22"/>
        </w:rPr>
        <w:t xml:space="preserve">, </w:t>
      </w:r>
      <w:r>
        <w:rPr>
          <w:sz w:val="22"/>
          <w:szCs w:val="22"/>
        </w:rPr>
        <w:t>of the Armed Forces Covenant and associated issues</w:t>
      </w:r>
      <w:r w:rsidRPr="00475E99">
        <w:rPr>
          <w:sz w:val="22"/>
          <w:szCs w:val="22"/>
        </w:rPr>
        <w:t>, the War Pension Scheme, Armed Forces Compensation Scheme</w:t>
      </w:r>
      <w:r>
        <w:rPr>
          <w:sz w:val="22"/>
          <w:szCs w:val="22"/>
        </w:rPr>
        <w:t>,</w:t>
      </w:r>
      <w:r w:rsidRPr="00475E99">
        <w:rPr>
          <w:sz w:val="22"/>
          <w:szCs w:val="22"/>
        </w:rPr>
        <w:t xml:space="preserve"> the Veterans Welfare Service</w:t>
      </w:r>
      <w:r w:rsidRPr="00C656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the availability of x-Government support to the Armed Forces, their families and Veterans </w:t>
      </w:r>
    </w:p>
    <w:p w:rsidR="006077B6" w:rsidRPr="00475E99" w:rsidRDefault="006077B6" w:rsidP="006077B6">
      <w:pPr>
        <w:numPr>
          <w:ilvl w:val="0"/>
          <w:numId w:val="1"/>
        </w:numPr>
        <w:tabs>
          <w:tab w:val="clear" w:pos="720"/>
          <w:tab w:val="num" w:pos="862"/>
        </w:tabs>
        <w:ind w:left="862"/>
        <w:rPr>
          <w:sz w:val="22"/>
          <w:szCs w:val="22"/>
        </w:rPr>
      </w:pPr>
      <w:proofErr w:type="gramStart"/>
      <w:r w:rsidRPr="00475E99">
        <w:rPr>
          <w:b/>
          <w:sz w:val="22"/>
          <w:szCs w:val="22"/>
        </w:rPr>
        <w:t>assist</w:t>
      </w:r>
      <w:proofErr w:type="gramEnd"/>
      <w:r w:rsidRPr="00475E99">
        <w:rPr>
          <w:sz w:val="22"/>
          <w:szCs w:val="22"/>
        </w:rPr>
        <w:t xml:space="preserve"> veterans and their families in accessing local support services </w:t>
      </w:r>
      <w:r>
        <w:rPr>
          <w:sz w:val="22"/>
          <w:szCs w:val="22"/>
        </w:rPr>
        <w:t xml:space="preserve">and </w:t>
      </w:r>
      <w:r w:rsidRPr="00475E99">
        <w:rPr>
          <w:sz w:val="22"/>
          <w:szCs w:val="22"/>
        </w:rPr>
        <w:t>to provide assistance and guidance to individuals in accessing the War Pension Scheme and Armed Forces Compensation Scheme</w:t>
      </w:r>
      <w:r>
        <w:rPr>
          <w:sz w:val="22"/>
          <w:szCs w:val="22"/>
        </w:rPr>
        <w:t>.</w:t>
      </w:r>
      <w:r w:rsidRPr="00475E99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475E99">
        <w:rPr>
          <w:sz w:val="22"/>
          <w:szCs w:val="22"/>
        </w:rPr>
        <w:t xml:space="preserve">o provide an independent element to the </w:t>
      </w:r>
      <w:r>
        <w:rPr>
          <w:sz w:val="22"/>
          <w:szCs w:val="22"/>
        </w:rPr>
        <w:t xml:space="preserve">Veterans UK </w:t>
      </w:r>
      <w:r w:rsidRPr="00475E99">
        <w:rPr>
          <w:sz w:val="22"/>
          <w:szCs w:val="22"/>
        </w:rPr>
        <w:t>complaints process relating to those schemes.</w:t>
      </w:r>
      <w:r w:rsidRPr="00C656DA">
        <w:rPr>
          <w:sz w:val="22"/>
          <w:szCs w:val="22"/>
        </w:rPr>
        <w:t xml:space="preserve"> </w:t>
      </w:r>
      <w:hyperlink r:id="rId7" w:history="1">
        <w:r w:rsidRPr="00C656DA">
          <w:rPr>
            <w:rStyle w:val="Hyperlink"/>
            <w:sz w:val="22"/>
            <w:szCs w:val="22"/>
          </w:rPr>
          <w:t>https://www.gov.uk/government/organisations/veterans-uk</w:t>
        </w:r>
      </w:hyperlink>
    </w:p>
    <w:p w:rsidR="006077B6" w:rsidRPr="00475E99" w:rsidRDefault="006077B6" w:rsidP="006077B6">
      <w:pPr>
        <w:numPr>
          <w:ilvl w:val="0"/>
          <w:numId w:val="1"/>
        </w:numPr>
        <w:tabs>
          <w:tab w:val="clear" w:pos="720"/>
          <w:tab w:val="num" w:pos="862"/>
        </w:tabs>
        <w:ind w:left="862"/>
        <w:rPr>
          <w:sz w:val="22"/>
          <w:szCs w:val="22"/>
        </w:rPr>
      </w:pPr>
      <w:proofErr w:type="gramStart"/>
      <w:r w:rsidRPr="00475E99">
        <w:rPr>
          <w:sz w:val="22"/>
          <w:szCs w:val="22"/>
        </w:rPr>
        <w:t>based</w:t>
      </w:r>
      <w:proofErr w:type="gramEnd"/>
      <w:r w:rsidRPr="00475E99">
        <w:rPr>
          <w:sz w:val="22"/>
          <w:szCs w:val="22"/>
        </w:rPr>
        <w:t xml:space="preserve"> on their involvement in the wider process and their contact with individuals in the local areas, act as a conduit for local</w:t>
      </w:r>
      <w:r w:rsidRPr="00475E99">
        <w:rPr>
          <w:b/>
          <w:sz w:val="22"/>
          <w:szCs w:val="22"/>
        </w:rPr>
        <w:t xml:space="preserve"> consultation </w:t>
      </w:r>
      <w:r w:rsidRPr="00475E99">
        <w:rPr>
          <w:sz w:val="22"/>
          <w:szCs w:val="22"/>
        </w:rPr>
        <w:t xml:space="preserve">by Ministers, the Ministry of Defence and the </w:t>
      </w:r>
      <w:r>
        <w:rPr>
          <w:sz w:val="22"/>
          <w:szCs w:val="22"/>
        </w:rPr>
        <w:t xml:space="preserve">Veterans UK </w:t>
      </w:r>
      <w:r w:rsidRPr="00475E99">
        <w:rPr>
          <w:sz w:val="22"/>
          <w:szCs w:val="22"/>
        </w:rPr>
        <w:t xml:space="preserve">on issues affecting recipients of </w:t>
      </w:r>
      <w:r>
        <w:rPr>
          <w:sz w:val="22"/>
          <w:szCs w:val="22"/>
        </w:rPr>
        <w:t xml:space="preserve">a </w:t>
      </w:r>
      <w:r w:rsidRPr="00475E99">
        <w:rPr>
          <w:sz w:val="22"/>
          <w:szCs w:val="22"/>
        </w:rPr>
        <w:t>pension</w:t>
      </w:r>
      <w:r>
        <w:rPr>
          <w:sz w:val="22"/>
          <w:szCs w:val="22"/>
        </w:rPr>
        <w:t xml:space="preserve">/compensation </w:t>
      </w:r>
      <w:r w:rsidRPr="00475E99">
        <w:rPr>
          <w:sz w:val="22"/>
          <w:szCs w:val="22"/>
        </w:rPr>
        <w:t xml:space="preserve">from the War Pension and Armed Forces Compensation </w:t>
      </w:r>
      <w:r>
        <w:rPr>
          <w:sz w:val="22"/>
          <w:szCs w:val="22"/>
        </w:rPr>
        <w:t>S</w:t>
      </w:r>
      <w:r w:rsidRPr="00475E99">
        <w:rPr>
          <w:sz w:val="22"/>
          <w:szCs w:val="22"/>
        </w:rPr>
        <w:t>cheme</w:t>
      </w:r>
      <w:r>
        <w:rPr>
          <w:sz w:val="22"/>
          <w:szCs w:val="22"/>
        </w:rPr>
        <w:t>s</w:t>
      </w:r>
      <w:r w:rsidRPr="00475E99">
        <w:rPr>
          <w:sz w:val="22"/>
          <w:szCs w:val="22"/>
        </w:rPr>
        <w:t>.</w:t>
      </w:r>
      <w:r w:rsidRPr="00C656DA">
        <w:rPr>
          <w:sz w:val="22"/>
          <w:szCs w:val="22"/>
        </w:rPr>
        <w:t xml:space="preserve"> </w:t>
      </w:r>
      <w:hyperlink r:id="rId8" w:history="1">
        <w:r w:rsidRPr="00342E4C">
          <w:rPr>
            <w:rStyle w:val="Hyperlink"/>
            <w:sz w:val="22"/>
            <w:szCs w:val="22"/>
          </w:rPr>
          <w:t>http://www.veteranstransition.co.uk/vtrreport.pdf</w:t>
        </w:r>
      </w:hyperlink>
    </w:p>
    <w:p w:rsidR="006077B6" w:rsidRPr="00475E99" w:rsidRDefault="006077B6" w:rsidP="006077B6">
      <w:pPr>
        <w:ind w:left="142"/>
        <w:rPr>
          <w:sz w:val="22"/>
          <w:szCs w:val="22"/>
        </w:rPr>
      </w:pPr>
      <w:r w:rsidRPr="00475E99">
        <w:rPr>
          <w:sz w:val="22"/>
          <w:szCs w:val="22"/>
        </w:rPr>
        <w:t xml:space="preserve"> </w:t>
      </w:r>
    </w:p>
    <w:p w:rsidR="006077B6" w:rsidRPr="00475E99" w:rsidRDefault="006077B6" w:rsidP="006077B6">
      <w:pPr>
        <w:pStyle w:val="Heading4"/>
        <w:spacing w:line="240" w:lineRule="auto"/>
        <w:rPr>
          <w:bCs/>
          <w:sz w:val="22"/>
          <w:szCs w:val="22"/>
        </w:rPr>
      </w:pPr>
      <w:r w:rsidRPr="00475E99">
        <w:rPr>
          <w:bCs/>
          <w:sz w:val="22"/>
          <w:szCs w:val="22"/>
        </w:rPr>
        <w:t xml:space="preserve">Responsibilities and Skills </w:t>
      </w:r>
    </w:p>
    <w:p w:rsidR="006077B6" w:rsidRDefault="006077B6" w:rsidP="006077B6">
      <w:pPr>
        <w:rPr>
          <w:sz w:val="22"/>
          <w:szCs w:val="22"/>
        </w:rPr>
      </w:pPr>
      <w:r w:rsidRPr="00475E99">
        <w:rPr>
          <w:sz w:val="22"/>
          <w:szCs w:val="22"/>
        </w:rPr>
        <w:t>The VAPC Chairperson and members play a central role in promoting the interests and welfare of Veterans and their families</w:t>
      </w:r>
      <w:r>
        <w:rPr>
          <w:sz w:val="22"/>
          <w:szCs w:val="22"/>
        </w:rPr>
        <w:t xml:space="preserve"> </w:t>
      </w:r>
      <w:hyperlink r:id="rId9" w:history="1">
        <w:r w:rsidRPr="00C656DA">
          <w:rPr>
            <w:rStyle w:val="Hyperlink"/>
            <w:sz w:val="22"/>
            <w:szCs w:val="22"/>
          </w:rPr>
          <w:t>https://www.gov.uk/government/organisations/veterans-advisory-and-pensions-committees-x13</w:t>
        </w:r>
      </w:hyperlink>
      <w:r>
        <w:rPr>
          <w:sz w:val="22"/>
          <w:szCs w:val="22"/>
        </w:rPr>
        <w:t>.</w:t>
      </w:r>
      <w:r w:rsidRPr="00475E99">
        <w:rPr>
          <w:sz w:val="22"/>
          <w:szCs w:val="22"/>
        </w:rPr>
        <w:t xml:space="preserve"> The committees meet between 2 and 4 times per year and members are expected to be involved in a wide rang</w:t>
      </w:r>
      <w:r>
        <w:rPr>
          <w:sz w:val="22"/>
          <w:szCs w:val="22"/>
        </w:rPr>
        <w:t>e of activities, between these</w:t>
      </w:r>
      <w:r w:rsidRPr="00475E99">
        <w:rPr>
          <w:sz w:val="22"/>
          <w:szCs w:val="22"/>
        </w:rPr>
        <w:t xml:space="preserve"> relating to the </w:t>
      </w:r>
      <w:r>
        <w:rPr>
          <w:sz w:val="22"/>
          <w:szCs w:val="22"/>
        </w:rPr>
        <w:t xml:space="preserve">delivery </w:t>
      </w:r>
      <w:r w:rsidRPr="00475E99">
        <w:rPr>
          <w:sz w:val="22"/>
          <w:szCs w:val="22"/>
        </w:rPr>
        <w:t>of</w:t>
      </w:r>
      <w:r>
        <w:rPr>
          <w:sz w:val="22"/>
          <w:szCs w:val="22"/>
        </w:rPr>
        <w:t xml:space="preserve"> the functions of</w:t>
      </w:r>
      <w:r w:rsidRPr="00475E99">
        <w:rPr>
          <w:sz w:val="22"/>
          <w:szCs w:val="22"/>
        </w:rPr>
        <w:t xml:space="preserve"> the committee set out above.</w:t>
      </w:r>
    </w:p>
    <w:p w:rsidR="006077B6" w:rsidRPr="003720AE" w:rsidRDefault="006077B6" w:rsidP="006077B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Annex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lists the regional committees that need to strengthen their membership</w:t>
      </w:r>
      <w:r w:rsidR="00E13ED2">
        <w:rPr>
          <w:sz w:val="22"/>
          <w:szCs w:val="22"/>
        </w:rPr>
        <w:t>.</w:t>
      </w:r>
      <w:r>
        <w:rPr>
          <w:sz w:val="22"/>
          <w:szCs w:val="22"/>
        </w:rPr>
        <w:t xml:space="preserve"> Some committees would benefit from taking on new Members </w:t>
      </w:r>
      <w:r w:rsidR="0065283F">
        <w:rPr>
          <w:sz w:val="22"/>
          <w:szCs w:val="22"/>
        </w:rPr>
        <w:t>from certain</w:t>
      </w:r>
      <w:r>
        <w:rPr>
          <w:sz w:val="22"/>
          <w:szCs w:val="22"/>
        </w:rPr>
        <w:t xml:space="preserve"> geographical areas and skill sets and applications from individuals meeting these criteria would be particularly welcome. The requirements within each Committee are also detailed in </w:t>
      </w:r>
      <w:r w:rsidRPr="00A750FA">
        <w:rPr>
          <w:sz w:val="22"/>
          <w:szCs w:val="22"/>
        </w:rPr>
        <w:t>Annex A</w:t>
      </w:r>
      <w:r>
        <w:rPr>
          <w:sz w:val="22"/>
          <w:szCs w:val="22"/>
        </w:rPr>
        <w:t xml:space="preserve">. If however you don’t fall into any of these groups we would still welcome your application. </w:t>
      </w:r>
      <w:r w:rsidRPr="00475E99">
        <w:rPr>
          <w:sz w:val="22"/>
          <w:szCs w:val="22"/>
        </w:rPr>
        <w:t xml:space="preserve"> </w:t>
      </w:r>
      <w:r w:rsidRPr="003720AE">
        <w:rPr>
          <w:b/>
          <w:sz w:val="22"/>
          <w:szCs w:val="22"/>
        </w:rPr>
        <w:t xml:space="preserve">What is most important is that </w:t>
      </w:r>
      <w:r>
        <w:rPr>
          <w:b/>
          <w:sz w:val="22"/>
          <w:szCs w:val="22"/>
        </w:rPr>
        <w:t xml:space="preserve">candidates </w:t>
      </w:r>
      <w:r w:rsidRPr="003720AE">
        <w:rPr>
          <w:b/>
          <w:sz w:val="22"/>
          <w:szCs w:val="22"/>
        </w:rPr>
        <w:t>should have a real commitment to supporting Veterans and their Families.</w:t>
      </w:r>
    </w:p>
    <w:p w:rsidR="006077B6" w:rsidRDefault="006077B6" w:rsidP="006077B6">
      <w:pPr>
        <w:rPr>
          <w:sz w:val="22"/>
          <w:szCs w:val="22"/>
        </w:rPr>
      </w:pPr>
    </w:p>
    <w:p w:rsidR="006077B6" w:rsidRDefault="006077B6" w:rsidP="006077B6">
      <w:pPr>
        <w:rPr>
          <w:sz w:val="22"/>
          <w:szCs w:val="22"/>
        </w:rPr>
      </w:pPr>
      <w:r>
        <w:rPr>
          <w:sz w:val="22"/>
          <w:szCs w:val="22"/>
        </w:rPr>
        <w:t>Candidates will need to demonstrate the following:</w:t>
      </w:r>
    </w:p>
    <w:p w:rsidR="006077B6" w:rsidRDefault="006077B6" w:rsidP="006077B6">
      <w:pPr>
        <w:rPr>
          <w:sz w:val="22"/>
          <w:szCs w:val="22"/>
        </w:rPr>
      </w:pPr>
    </w:p>
    <w:p w:rsidR="006077B6" w:rsidRDefault="006077B6" w:rsidP="006077B6">
      <w:pPr>
        <w:rPr>
          <w:sz w:val="22"/>
          <w:szCs w:val="22"/>
        </w:rPr>
      </w:pPr>
      <w:r>
        <w:rPr>
          <w:sz w:val="22"/>
          <w:szCs w:val="22"/>
        </w:rPr>
        <w:t>Essential</w:t>
      </w:r>
    </w:p>
    <w:p w:rsidR="006077B6" w:rsidRPr="00475E99" w:rsidRDefault="006077B6" w:rsidP="006077B6">
      <w:pPr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sz w:val="22"/>
          <w:szCs w:val="22"/>
        </w:rPr>
        <w:t>an</w:t>
      </w:r>
      <w:r w:rsidRPr="00475E99">
        <w:rPr>
          <w:sz w:val="22"/>
          <w:szCs w:val="22"/>
        </w:rPr>
        <w:t xml:space="preserve"> ability to contribute to a committee setting;</w:t>
      </w:r>
      <w:r w:rsidRPr="00475E99">
        <w:rPr>
          <w:rFonts w:cs="Arial"/>
          <w:sz w:val="22"/>
          <w:szCs w:val="22"/>
        </w:rPr>
        <w:t xml:space="preserve"> </w:t>
      </w:r>
    </w:p>
    <w:p w:rsidR="006077B6" w:rsidRPr="00475E99" w:rsidRDefault="006077B6" w:rsidP="006077B6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g</w:t>
      </w:r>
      <w:r w:rsidRPr="00475E99">
        <w:rPr>
          <w:rFonts w:cs="Arial"/>
          <w:sz w:val="22"/>
          <w:szCs w:val="22"/>
        </w:rPr>
        <w:t>ood</w:t>
      </w:r>
      <w:proofErr w:type="gramEnd"/>
      <w:r w:rsidRPr="00475E99">
        <w:rPr>
          <w:rFonts w:cs="Arial"/>
          <w:sz w:val="22"/>
          <w:szCs w:val="22"/>
        </w:rPr>
        <w:t xml:space="preserve"> all round communication skills and </w:t>
      </w:r>
      <w:r>
        <w:rPr>
          <w:rFonts w:cs="Arial"/>
          <w:sz w:val="22"/>
          <w:szCs w:val="22"/>
        </w:rPr>
        <w:t>be able</w:t>
      </w:r>
      <w:r w:rsidRPr="00475E99">
        <w:rPr>
          <w:rFonts w:cs="Arial"/>
          <w:sz w:val="22"/>
          <w:szCs w:val="22"/>
        </w:rPr>
        <w:t xml:space="preserve"> to consider complex issues. </w:t>
      </w:r>
    </w:p>
    <w:p w:rsidR="006077B6" w:rsidRPr="00475E99" w:rsidRDefault="006077B6" w:rsidP="006077B6">
      <w:pPr>
        <w:numPr>
          <w:ilvl w:val="0"/>
          <w:numId w:val="1"/>
        </w:numPr>
        <w:ind w:left="709" w:hanging="709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an</w:t>
      </w:r>
      <w:proofErr w:type="gramEnd"/>
      <w:r>
        <w:rPr>
          <w:rFonts w:cs="Arial"/>
          <w:sz w:val="22"/>
          <w:szCs w:val="22"/>
        </w:rPr>
        <w:t xml:space="preserve"> ability</w:t>
      </w:r>
      <w:r w:rsidRPr="00475E99">
        <w:rPr>
          <w:rFonts w:cs="Arial"/>
          <w:sz w:val="22"/>
          <w:szCs w:val="22"/>
        </w:rPr>
        <w:t xml:space="preserve"> to look ahead and work with others to develop practical plans.</w:t>
      </w:r>
    </w:p>
    <w:p w:rsidR="006077B6" w:rsidRDefault="006077B6" w:rsidP="006077B6">
      <w:pPr>
        <w:numPr>
          <w:ilvl w:val="0"/>
          <w:numId w:val="1"/>
        </w:numPr>
        <w:tabs>
          <w:tab w:val="num" w:pos="862"/>
        </w:tabs>
        <w:ind w:left="709" w:hanging="709"/>
        <w:rPr>
          <w:rFonts w:cs="Arial"/>
          <w:sz w:val="22"/>
          <w:szCs w:val="22"/>
        </w:rPr>
      </w:pPr>
      <w:proofErr w:type="gramStart"/>
      <w:r w:rsidRPr="00475E99">
        <w:rPr>
          <w:rFonts w:cs="Arial"/>
          <w:sz w:val="22"/>
          <w:szCs w:val="22"/>
        </w:rPr>
        <w:t>an</w:t>
      </w:r>
      <w:proofErr w:type="gramEnd"/>
      <w:r w:rsidRPr="00475E99">
        <w:rPr>
          <w:rFonts w:cs="Arial"/>
          <w:sz w:val="22"/>
          <w:szCs w:val="22"/>
        </w:rPr>
        <w:t xml:space="preserve"> understanding of the Government’s commitment to veterans as set out in the </w:t>
      </w:r>
      <w:r>
        <w:rPr>
          <w:rFonts w:cs="Arial"/>
          <w:sz w:val="22"/>
          <w:szCs w:val="22"/>
        </w:rPr>
        <w:t>Armed Forces Covenant</w:t>
      </w:r>
      <w:r w:rsidRPr="00475E99">
        <w:rPr>
          <w:rFonts w:cs="Arial"/>
          <w:sz w:val="22"/>
          <w:szCs w:val="22"/>
        </w:rPr>
        <w:t xml:space="preserve">. </w:t>
      </w:r>
    </w:p>
    <w:p w:rsidR="006077B6" w:rsidRDefault="006077B6" w:rsidP="006077B6">
      <w:pPr>
        <w:tabs>
          <w:tab w:val="num" w:pos="862"/>
        </w:tabs>
        <w:ind w:left="709"/>
        <w:rPr>
          <w:rFonts w:cs="Arial"/>
          <w:sz w:val="22"/>
          <w:szCs w:val="22"/>
        </w:rPr>
      </w:pPr>
    </w:p>
    <w:p w:rsidR="006077B6" w:rsidRPr="00C656DA" w:rsidRDefault="006077B6" w:rsidP="006077B6">
      <w:pPr>
        <w:tabs>
          <w:tab w:val="num" w:pos="862"/>
        </w:tabs>
        <w:rPr>
          <w:rFonts w:cs="Arial"/>
          <w:sz w:val="22"/>
          <w:szCs w:val="22"/>
        </w:rPr>
      </w:pPr>
      <w:r w:rsidRPr="00C656DA">
        <w:rPr>
          <w:rFonts w:cs="Arial"/>
          <w:sz w:val="22"/>
          <w:szCs w:val="22"/>
        </w:rPr>
        <w:lastRenderedPageBreak/>
        <w:t>Desirable</w:t>
      </w:r>
    </w:p>
    <w:p w:rsidR="006077B6" w:rsidRDefault="006077B6" w:rsidP="006077B6">
      <w:pPr>
        <w:numPr>
          <w:ilvl w:val="0"/>
          <w:numId w:val="1"/>
        </w:numPr>
        <w:tabs>
          <w:tab w:val="num" w:pos="862"/>
        </w:tabs>
        <w:ind w:left="709" w:hanging="709"/>
        <w:rPr>
          <w:rFonts w:cs="Arial"/>
          <w:sz w:val="22"/>
          <w:szCs w:val="22"/>
        </w:rPr>
      </w:pPr>
      <w:proofErr w:type="gramStart"/>
      <w:r w:rsidRPr="00475E99">
        <w:rPr>
          <w:rFonts w:cs="Arial"/>
          <w:sz w:val="22"/>
          <w:szCs w:val="22"/>
        </w:rPr>
        <w:t>some</w:t>
      </w:r>
      <w:proofErr w:type="gramEnd"/>
      <w:r w:rsidRPr="00475E99">
        <w:rPr>
          <w:rFonts w:cs="Arial"/>
          <w:sz w:val="22"/>
          <w:szCs w:val="22"/>
        </w:rPr>
        <w:t xml:space="preserve"> experience </w:t>
      </w:r>
      <w:r>
        <w:rPr>
          <w:rFonts w:cs="Arial"/>
          <w:sz w:val="22"/>
          <w:szCs w:val="22"/>
        </w:rPr>
        <w:t xml:space="preserve">or </w:t>
      </w:r>
      <w:r w:rsidRPr="00475E99">
        <w:rPr>
          <w:rFonts w:cs="Arial"/>
          <w:sz w:val="22"/>
          <w:szCs w:val="22"/>
        </w:rPr>
        <w:t>knowledge of service pensions and/or compensation schemes in terms of policy impact.</w:t>
      </w:r>
    </w:p>
    <w:p w:rsidR="006077B6" w:rsidRPr="00475E99" w:rsidRDefault="006077B6" w:rsidP="006077B6">
      <w:pPr>
        <w:numPr>
          <w:ilvl w:val="0"/>
          <w:numId w:val="1"/>
        </w:numPr>
        <w:tabs>
          <w:tab w:val="num" w:pos="862"/>
        </w:tabs>
        <w:ind w:left="709" w:hanging="709"/>
        <w:rPr>
          <w:rFonts w:cs="Arial"/>
          <w:sz w:val="22"/>
          <w:szCs w:val="22"/>
        </w:rPr>
      </w:pPr>
      <w:r w:rsidRPr="00475E99">
        <w:rPr>
          <w:sz w:val="22"/>
          <w:szCs w:val="22"/>
        </w:rPr>
        <w:t>a knowledge of service life</w:t>
      </w:r>
    </w:p>
    <w:p w:rsidR="006077B6" w:rsidRPr="00475E99" w:rsidRDefault="006077B6" w:rsidP="006077B6">
      <w:pPr>
        <w:tabs>
          <w:tab w:val="num" w:pos="862"/>
        </w:tabs>
        <w:rPr>
          <w:rFonts w:cs="Arial"/>
          <w:sz w:val="22"/>
          <w:szCs w:val="22"/>
        </w:rPr>
      </w:pPr>
    </w:p>
    <w:p w:rsidR="006077B6" w:rsidRPr="006D5F18" w:rsidRDefault="006077B6" w:rsidP="006077B6">
      <w:pPr>
        <w:rPr>
          <w:rFonts w:cs="Arial"/>
          <w:sz w:val="22"/>
          <w:szCs w:val="22"/>
        </w:rPr>
      </w:pPr>
      <w:r w:rsidRPr="006D5F18">
        <w:rPr>
          <w:rFonts w:cs="Arial"/>
          <w:sz w:val="22"/>
          <w:szCs w:val="22"/>
        </w:rPr>
        <w:t>A Public Appointment will give you a chance to:</w:t>
      </w:r>
    </w:p>
    <w:p w:rsidR="006077B6" w:rsidRPr="006D5F18" w:rsidRDefault="006077B6" w:rsidP="006077B6">
      <w:pPr>
        <w:numPr>
          <w:ilvl w:val="0"/>
          <w:numId w:val="3"/>
        </w:numPr>
        <w:tabs>
          <w:tab w:val="clear" w:pos="902"/>
          <w:tab w:val="left" w:pos="842"/>
        </w:tabs>
        <w:ind w:hanging="1138"/>
        <w:rPr>
          <w:rStyle w:val="a7"/>
          <w:sz w:val="22"/>
          <w:szCs w:val="22"/>
        </w:rPr>
      </w:pPr>
      <w:r w:rsidRPr="006D5F18">
        <w:rPr>
          <w:rStyle w:val="a7"/>
          <w:iCs/>
          <w:sz w:val="22"/>
          <w:szCs w:val="22"/>
        </w:rPr>
        <w:t xml:space="preserve">help make decisions that affect </w:t>
      </w:r>
      <w:r>
        <w:rPr>
          <w:rStyle w:val="a7"/>
          <w:iCs/>
          <w:sz w:val="22"/>
          <w:szCs w:val="22"/>
        </w:rPr>
        <w:t xml:space="preserve">people’s </w:t>
      </w:r>
      <w:r w:rsidRPr="006D5F18">
        <w:rPr>
          <w:rStyle w:val="a7"/>
          <w:iCs/>
          <w:sz w:val="22"/>
          <w:szCs w:val="22"/>
        </w:rPr>
        <w:t>lives</w:t>
      </w:r>
    </w:p>
    <w:p w:rsidR="006077B6" w:rsidRDefault="006077B6" w:rsidP="006077B6">
      <w:pPr>
        <w:numPr>
          <w:ilvl w:val="0"/>
          <w:numId w:val="3"/>
        </w:numPr>
        <w:tabs>
          <w:tab w:val="clear" w:pos="902"/>
          <w:tab w:val="num" w:pos="842"/>
        </w:tabs>
        <w:overflowPunct w:val="0"/>
        <w:autoSpaceDE w:val="0"/>
        <w:autoSpaceDN w:val="0"/>
        <w:adjustRightInd w:val="0"/>
        <w:ind w:left="842" w:hanging="720"/>
        <w:textAlignment w:val="baseline"/>
        <w:rPr>
          <w:rStyle w:val="a7"/>
          <w:sz w:val="22"/>
          <w:szCs w:val="22"/>
        </w:rPr>
      </w:pPr>
      <w:r w:rsidRPr="006D5F18">
        <w:rPr>
          <w:rStyle w:val="a7"/>
          <w:iCs/>
          <w:sz w:val="22"/>
          <w:szCs w:val="22"/>
        </w:rPr>
        <w:t>help make a difference and change things for the better in the public interest</w:t>
      </w:r>
      <w:r>
        <w:rPr>
          <w:rStyle w:val="a7"/>
          <w:sz w:val="22"/>
          <w:szCs w:val="22"/>
        </w:rPr>
        <w:t xml:space="preserve"> </w:t>
      </w:r>
    </w:p>
    <w:p w:rsidR="006077B6" w:rsidRPr="006D5F18" w:rsidRDefault="006077B6" w:rsidP="006077B6">
      <w:pPr>
        <w:numPr>
          <w:ilvl w:val="0"/>
          <w:numId w:val="3"/>
        </w:numPr>
        <w:tabs>
          <w:tab w:val="clear" w:pos="902"/>
          <w:tab w:val="num" w:pos="842"/>
        </w:tabs>
        <w:overflowPunct w:val="0"/>
        <w:autoSpaceDE w:val="0"/>
        <w:autoSpaceDN w:val="0"/>
        <w:adjustRightInd w:val="0"/>
        <w:ind w:left="842" w:hanging="720"/>
        <w:textAlignment w:val="baseline"/>
        <w:rPr>
          <w:rStyle w:val="a7"/>
          <w:sz w:val="22"/>
          <w:szCs w:val="22"/>
        </w:rPr>
      </w:pPr>
      <w:r w:rsidRPr="006D5F18">
        <w:rPr>
          <w:rStyle w:val="a7"/>
          <w:iCs/>
          <w:sz w:val="22"/>
          <w:szCs w:val="22"/>
        </w:rPr>
        <w:t>contribute your skills, expertise and experience for the benefit of society</w:t>
      </w:r>
    </w:p>
    <w:p w:rsidR="006077B6" w:rsidRPr="006D5F18" w:rsidRDefault="006077B6" w:rsidP="006077B6">
      <w:pPr>
        <w:numPr>
          <w:ilvl w:val="0"/>
          <w:numId w:val="3"/>
        </w:numPr>
        <w:tabs>
          <w:tab w:val="clear" w:pos="902"/>
          <w:tab w:val="num" w:pos="122"/>
        </w:tabs>
        <w:overflowPunct w:val="0"/>
        <w:autoSpaceDE w:val="0"/>
        <w:autoSpaceDN w:val="0"/>
        <w:adjustRightInd w:val="0"/>
        <w:ind w:left="842" w:hanging="720"/>
        <w:textAlignment w:val="baseline"/>
        <w:rPr>
          <w:rStyle w:val="a7"/>
          <w:sz w:val="22"/>
          <w:szCs w:val="22"/>
        </w:rPr>
      </w:pPr>
      <w:r w:rsidRPr="006D5F18">
        <w:rPr>
          <w:rStyle w:val="a7"/>
          <w:iCs/>
          <w:sz w:val="22"/>
          <w:szCs w:val="22"/>
        </w:rPr>
        <w:t xml:space="preserve">  develop new skills, learn about new subjects and enhance your confidence</w:t>
      </w:r>
    </w:p>
    <w:p w:rsidR="006077B6" w:rsidRDefault="006077B6" w:rsidP="006077B6">
      <w:pPr>
        <w:numPr>
          <w:ilvl w:val="0"/>
          <w:numId w:val="3"/>
        </w:numPr>
        <w:tabs>
          <w:tab w:val="clear" w:pos="902"/>
          <w:tab w:val="num" w:pos="842"/>
        </w:tabs>
        <w:overflowPunct w:val="0"/>
        <w:autoSpaceDE w:val="0"/>
        <w:autoSpaceDN w:val="0"/>
        <w:adjustRightInd w:val="0"/>
        <w:ind w:hanging="1138"/>
        <w:textAlignment w:val="baseline"/>
        <w:rPr>
          <w:rStyle w:val="a7"/>
          <w:sz w:val="22"/>
          <w:szCs w:val="22"/>
        </w:rPr>
      </w:pPr>
      <w:r w:rsidRPr="006D5F18">
        <w:rPr>
          <w:rStyle w:val="a7"/>
          <w:iCs/>
          <w:sz w:val="22"/>
          <w:szCs w:val="22"/>
        </w:rPr>
        <w:t>meet a new range of people in different walks of life</w:t>
      </w:r>
      <w:r>
        <w:rPr>
          <w:rStyle w:val="a7"/>
          <w:sz w:val="22"/>
          <w:szCs w:val="22"/>
        </w:rPr>
        <w:t xml:space="preserve"> </w:t>
      </w:r>
    </w:p>
    <w:p w:rsidR="006077B6" w:rsidRPr="006D5F18" w:rsidRDefault="006077B6" w:rsidP="006077B6">
      <w:pPr>
        <w:numPr>
          <w:ilvl w:val="0"/>
          <w:numId w:val="3"/>
        </w:numPr>
        <w:tabs>
          <w:tab w:val="clear" w:pos="902"/>
          <w:tab w:val="num" w:pos="842"/>
        </w:tabs>
        <w:overflowPunct w:val="0"/>
        <w:autoSpaceDE w:val="0"/>
        <w:autoSpaceDN w:val="0"/>
        <w:adjustRightInd w:val="0"/>
        <w:ind w:hanging="1138"/>
        <w:textAlignment w:val="baseline"/>
        <w:rPr>
          <w:rStyle w:val="a7"/>
          <w:sz w:val="22"/>
          <w:szCs w:val="22"/>
        </w:rPr>
      </w:pPr>
      <w:r w:rsidRPr="006D5F18">
        <w:rPr>
          <w:rStyle w:val="a7"/>
          <w:iCs/>
          <w:sz w:val="22"/>
          <w:szCs w:val="22"/>
        </w:rPr>
        <w:t>develop your career, for example, by gaining public sector board experience</w:t>
      </w:r>
    </w:p>
    <w:p w:rsidR="006077B6" w:rsidRPr="006D5F18" w:rsidRDefault="006077B6" w:rsidP="006077B6">
      <w:pPr>
        <w:numPr>
          <w:ilvl w:val="0"/>
          <w:numId w:val="4"/>
        </w:numPr>
        <w:tabs>
          <w:tab w:val="clear" w:pos="902"/>
          <w:tab w:val="num" w:pos="842"/>
        </w:tabs>
        <w:overflowPunct w:val="0"/>
        <w:autoSpaceDE w:val="0"/>
        <w:autoSpaceDN w:val="0"/>
        <w:adjustRightInd w:val="0"/>
        <w:ind w:left="842" w:hanging="720"/>
        <w:textAlignment w:val="baseline"/>
        <w:rPr>
          <w:rStyle w:val="a7"/>
          <w:sz w:val="22"/>
          <w:szCs w:val="22"/>
        </w:rPr>
      </w:pPr>
      <w:r w:rsidRPr="006D5F18">
        <w:rPr>
          <w:rStyle w:val="a7"/>
          <w:iCs/>
          <w:sz w:val="22"/>
          <w:szCs w:val="22"/>
        </w:rPr>
        <w:t xml:space="preserve">refocus your career, for example, if you have returned from a career break or maternity leave </w:t>
      </w:r>
    </w:p>
    <w:p w:rsidR="006077B6" w:rsidRPr="006D5F18" w:rsidRDefault="006077B6" w:rsidP="006077B6">
      <w:pPr>
        <w:numPr>
          <w:ilvl w:val="0"/>
          <w:numId w:val="4"/>
        </w:numPr>
        <w:tabs>
          <w:tab w:val="clear" w:pos="902"/>
          <w:tab w:val="num" w:pos="122"/>
        </w:tabs>
        <w:overflowPunct w:val="0"/>
        <w:autoSpaceDE w:val="0"/>
        <w:autoSpaceDN w:val="0"/>
        <w:adjustRightInd w:val="0"/>
        <w:ind w:left="842" w:hanging="720"/>
        <w:textAlignment w:val="baseline"/>
        <w:rPr>
          <w:rFonts w:cs="Arial"/>
          <w:sz w:val="22"/>
          <w:szCs w:val="22"/>
        </w:rPr>
      </w:pPr>
      <w:r w:rsidRPr="006D5F18">
        <w:rPr>
          <w:rStyle w:val="a7"/>
          <w:iCs/>
          <w:sz w:val="22"/>
          <w:szCs w:val="22"/>
        </w:rPr>
        <w:t xml:space="preserve">  </w:t>
      </w:r>
      <w:proofErr w:type="gramStart"/>
      <w:r w:rsidRPr="006D5F18">
        <w:rPr>
          <w:rStyle w:val="a7"/>
          <w:iCs/>
          <w:sz w:val="22"/>
          <w:szCs w:val="22"/>
        </w:rPr>
        <w:t>generally</w:t>
      </w:r>
      <w:proofErr w:type="gramEnd"/>
      <w:r w:rsidRPr="006D5F18">
        <w:rPr>
          <w:rStyle w:val="a7"/>
          <w:iCs/>
          <w:sz w:val="22"/>
          <w:szCs w:val="22"/>
        </w:rPr>
        <w:t xml:space="preserve"> give something back and contribute to the delivery of the highest quality of public services in the public interest.</w:t>
      </w:r>
    </w:p>
    <w:p w:rsidR="006077B6" w:rsidRPr="00475E99" w:rsidRDefault="006077B6" w:rsidP="006077B6">
      <w:pPr>
        <w:rPr>
          <w:rFonts w:cs="Arial"/>
          <w:sz w:val="22"/>
          <w:szCs w:val="22"/>
        </w:rPr>
      </w:pPr>
    </w:p>
    <w:p w:rsidR="006077B6" w:rsidRPr="00475E99" w:rsidRDefault="006077B6" w:rsidP="006077B6">
      <w:pPr>
        <w:rPr>
          <w:bCs/>
          <w:sz w:val="22"/>
          <w:szCs w:val="22"/>
        </w:rPr>
      </w:pPr>
      <w:r w:rsidRPr="00475E99">
        <w:rPr>
          <w:sz w:val="22"/>
          <w:szCs w:val="22"/>
        </w:rPr>
        <w:t xml:space="preserve">The position is an unpaid </w:t>
      </w:r>
      <w:r>
        <w:rPr>
          <w:sz w:val="22"/>
          <w:szCs w:val="22"/>
        </w:rPr>
        <w:t xml:space="preserve">voluntary </w:t>
      </w:r>
      <w:r w:rsidRPr="00475E99">
        <w:rPr>
          <w:sz w:val="22"/>
          <w:szCs w:val="22"/>
        </w:rPr>
        <w:t>appointment but travelling and loss of earnings allowances will be paid.</w:t>
      </w:r>
    </w:p>
    <w:p w:rsidR="006077B6" w:rsidRPr="00475E99" w:rsidRDefault="006077B6" w:rsidP="006077B6">
      <w:pPr>
        <w:pStyle w:val="Heading4"/>
        <w:spacing w:line="240" w:lineRule="auto"/>
        <w:rPr>
          <w:bCs/>
          <w:sz w:val="22"/>
          <w:szCs w:val="22"/>
        </w:rPr>
      </w:pPr>
    </w:p>
    <w:p w:rsidR="005B48CB" w:rsidRPr="005B48CB" w:rsidRDefault="005B48CB" w:rsidP="005B48CB">
      <w:pPr>
        <w:tabs>
          <w:tab w:val="left" w:pos="-720"/>
        </w:tabs>
        <w:suppressAutoHyphens/>
        <w:jc w:val="both"/>
        <w:rPr>
          <w:sz w:val="22"/>
          <w:szCs w:val="22"/>
        </w:rPr>
      </w:pPr>
      <w:r>
        <w:t>Please go to the Public Appointments website via the following link to view the positions and apply:</w:t>
      </w:r>
      <w:r w:rsidRPr="00E94036">
        <w:t xml:space="preserve"> </w:t>
      </w:r>
      <w:bookmarkStart w:id="0" w:name="_GoBack"/>
      <w:bookmarkEnd w:id="0"/>
      <w:r w:rsidRPr="005B48CB">
        <w:rPr>
          <w:sz w:val="22"/>
          <w:szCs w:val="22"/>
        </w:rPr>
        <w:fldChar w:fldCharType="begin"/>
      </w:r>
      <w:r w:rsidRPr="005B48CB">
        <w:rPr>
          <w:sz w:val="22"/>
          <w:szCs w:val="22"/>
        </w:rPr>
        <w:instrText xml:space="preserve"> HYPERLINK "https://publicappointments.cabinetoffice.gov.uk/appointment/veterans-advisory-pensions-committee-members-regions-except-eastern/" </w:instrText>
      </w:r>
      <w:r w:rsidRPr="005B48CB">
        <w:rPr>
          <w:sz w:val="22"/>
          <w:szCs w:val="22"/>
        </w:rPr>
        <w:fldChar w:fldCharType="separate"/>
      </w:r>
      <w:r w:rsidRPr="005B48CB">
        <w:rPr>
          <w:color w:val="0000FF" w:themeColor="hyperlink"/>
          <w:sz w:val="22"/>
          <w:szCs w:val="22"/>
          <w:u w:val="single"/>
        </w:rPr>
        <w:t>https://publicappointments.cabinetoffice.gov.uk/appointment/veterans-advisory-pensions-committee-members-regions-except-eastern/</w:t>
      </w:r>
      <w:r w:rsidRPr="005B48CB">
        <w:rPr>
          <w:sz w:val="22"/>
          <w:szCs w:val="22"/>
        </w:rPr>
        <w:fldChar w:fldCharType="end"/>
      </w:r>
    </w:p>
    <w:p w:rsidR="006077B6" w:rsidRDefault="006077B6" w:rsidP="006077B6">
      <w:pPr>
        <w:rPr>
          <w:sz w:val="22"/>
          <w:szCs w:val="22"/>
        </w:rPr>
      </w:pPr>
    </w:p>
    <w:p w:rsidR="006077B6" w:rsidRDefault="006077B6" w:rsidP="006077B6">
      <w:pPr>
        <w:rPr>
          <w:sz w:val="22"/>
          <w:szCs w:val="22"/>
        </w:rPr>
      </w:pPr>
      <w:r w:rsidRPr="00475E99">
        <w:rPr>
          <w:sz w:val="22"/>
          <w:szCs w:val="22"/>
        </w:rPr>
        <w:t xml:space="preserve">The Ministry of Defence is committed to equality of opportunity for all and the principle of appointment based on merit following an open and transparent process and independent </w:t>
      </w:r>
    </w:p>
    <w:p w:rsidR="006077B6" w:rsidRPr="003C7580" w:rsidRDefault="006077B6" w:rsidP="006077B6">
      <w:pPr>
        <w:rPr>
          <w:b/>
          <w:color w:val="FF0000"/>
          <w:sz w:val="22"/>
          <w:szCs w:val="22"/>
        </w:rPr>
      </w:pPr>
      <w:proofErr w:type="gramStart"/>
      <w:r w:rsidRPr="00475E99">
        <w:rPr>
          <w:sz w:val="22"/>
          <w:szCs w:val="22"/>
        </w:rPr>
        <w:t>assessment</w:t>
      </w:r>
      <w:proofErr w:type="gramEnd"/>
      <w:r w:rsidRPr="00475E99">
        <w:rPr>
          <w:sz w:val="22"/>
          <w:szCs w:val="22"/>
        </w:rPr>
        <w:t xml:space="preserve">. An interview access scheme is available (for disabled candidates who meet the essential criteria for appointment). </w:t>
      </w:r>
      <w:r w:rsidRPr="00475E99">
        <w:rPr>
          <w:b/>
          <w:bCs/>
          <w:sz w:val="22"/>
          <w:szCs w:val="22"/>
        </w:rPr>
        <w:t xml:space="preserve">PLEASE NOTE THIS IS A PUBLIC APPOINTMENT NOT EMPLOYMENT. </w:t>
      </w:r>
      <w:r>
        <w:rPr>
          <w:b/>
          <w:sz w:val="22"/>
          <w:szCs w:val="22"/>
        </w:rPr>
        <w:t>Closing Date for a</w:t>
      </w:r>
      <w:r w:rsidRPr="00475E99">
        <w:rPr>
          <w:b/>
          <w:sz w:val="22"/>
          <w:szCs w:val="22"/>
        </w:rPr>
        <w:t>pplications is</w:t>
      </w:r>
      <w:r>
        <w:rPr>
          <w:b/>
          <w:sz w:val="22"/>
          <w:szCs w:val="22"/>
        </w:rPr>
        <w:t xml:space="preserve"> 26/12/201</w:t>
      </w:r>
      <w:r w:rsidR="00BA7E5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 Interviews will be held within each region at a venue to be announced.</w:t>
      </w:r>
    </w:p>
    <w:p w:rsidR="0078327B" w:rsidRDefault="0078327B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Pr="006077B6" w:rsidRDefault="006077B6" w:rsidP="006077B6">
      <w:pPr>
        <w:spacing w:after="200"/>
        <w:jc w:val="center"/>
        <w:rPr>
          <w:rFonts w:eastAsia="Calibri" w:cs="Arial"/>
          <w:b/>
          <w:szCs w:val="24"/>
          <w:u w:val="single"/>
        </w:rPr>
      </w:pPr>
      <w:r w:rsidRPr="006077B6">
        <w:rPr>
          <w:rFonts w:eastAsia="Calibri" w:cs="Arial"/>
          <w:b/>
          <w:szCs w:val="24"/>
          <w:u w:val="single"/>
        </w:rPr>
        <w:lastRenderedPageBreak/>
        <w:t>Desired Locations and Skills by Region</w:t>
      </w:r>
    </w:p>
    <w:p w:rsidR="006077B6" w:rsidRPr="006077B6" w:rsidRDefault="006077B6" w:rsidP="006077B6">
      <w:pPr>
        <w:jc w:val="center"/>
        <w:rPr>
          <w:rFonts w:eastAsia="Calibri" w:cs="Arial"/>
          <w:b/>
          <w:szCs w:val="24"/>
          <w:u w:val="single"/>
        </w:rPr>
      </w:pPr>
    </w:p>
    <w:tbl>
      <w:tblPr>
        <w:tblpPr w:leftFromText="180" w:rightFromText="180" w:vertAnchor="text" w:horzAnchor="margin" w:tblpX="-527" w:tblpY="489"/>
        <w:tblW w:w="10915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693"/>
        <w:gridCol w:w="2410"/>
      </w:tblGrid>
      <w:tr w:rsidR="006077B6" w:rsidRPr="006077B6" w:rsidTr="00BB3A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before="120" w:after="200"/>
              <w:contextualSpacing/>
              <w:rPr>
                <w:rFonts w:cs="Arial"/>
                <w:b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VAPC Region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ind w:left="720" w:hanging="686"/>
              <w:contextualSpacing/>
              <w:rPr>
                <w:rFonts w:cs="Arial"/>
                <w:b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Areas Covered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left" w:pos="1094"/>
                <w:tab w:val="center" w:pos="4320"/>
                <w:tab w:val="right" w:pos="8640"/>
              </w:tabs>
              <w:spacing w:after="200"/>
              <w:ind w:left="34" w:right="459"/>
              <w:contextualSpacing/>
              <w:jc w:val="both"/>
              <w:rPr>
                <w:rFonts w:cs="Arial"/>
                <w:b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Desired Location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ind w:left="34"/>
              <w:contextualSpacing/>
              <w:rPr>
                <w:rFonts w:cs="Arial"/>
                <w:b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 xml:space="preserve">Desirable Skill                    </w:t>
            </w:r>
          </w:p>
        </w:tc>
      </w:tr>
      <w:tr w:rsidR="006077B6" w:rsidRPr="006077B6" w:rsidTr="00BB3A87">
        <w:trPr>
          <w:cantSplit/>
          <w:trHeight w:val="19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before="120" w:after="200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East Scotland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before="120" w:after="200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City of Aberdeen,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Aberdeenshire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, Angus, The Borders,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Clackmannan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, City of Dundee, City of Edinburgh, Falkirk, Fife, East Lothian, Midlothian, West Lothian, Moray, Orkney Islands,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Perthshire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 and Kinross, Shetland Islands,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Stirling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>.</w:t>
            </w:r>
          </w:p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ind w:left="720"/>
              <w:contextualSpacing/>
              <w:rPr>
                <w:rFonts w:cs="Arial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jc w:val="both"/>
              <w:rPr>
                <w:rFonts w:eastAsia="Calibri" w:cs="Arial"/>
                <w:sz w:val="22"/>
                <w:szCs w:val="22"/>
              </w:rPr>
            </w:pPr>
          </w:p>
          <w:p w:rsidR="006077B6" w:rsidRPr="006077B6" w:rsidRDefault="006077B6" w:rsidP="006077B6">
            <w:pPr>
              <w:rPr>
                <w:sz w:val="22"/>
                <w:szCs w:val="22"/>
              </w:rPr>
            </w:pPr>
            <w:r w:rsidRPr="006077B6">
              <w:rPr>
                <w:sz w:val="22"/>
                <w:szCs w:val="22"/>
              </w:rPr>
              <w:t>Shetland</w:t>
            </w:r>
          </w:p>
          <w:p w:rsidR="006077B6" w:rsidRPr="006077B6" w:rsidRDefault="006077B6" w:rsidP="006077B6">
            <w:pPr>
              <w:rPr>
                <w:sz w:val="22"/>
                <w:szCs w:val="22"/>
              </w:rPr>
            </w:pPr>
            <w:r w:rsidRPr="006077B6">
              <w:rPr>
                <w:sz w:val="22"/>
                <w:szCs w:val="22"/>
              </w:rPr>
              <w:t>Orkney</w:t>
            </w:r>
          </w:p>
          <w:p w:rsidR="006077B6" w:rsidRPr="006077B6" w:rsidRDefault="006077B6" w:rsidP="006077B6">
            <w:pPr>
              <w:rPr>
                <w:sz w:val="22"/>
                <w:szCs w:val="22"/>
              </w:rPr>
            </w:pPr>
            <w:r w:rsidRPr="006077B6">
              <w:rPr>
                <w:sz w:val="22"/>
                <w:szCs w:val="22"/>
              </w:rPr>
              <w:t>Moray</w:t>
            </w:r>
          </w:p>
          <w:p w:rsidR="006077B6" w:rsidRPr="006077B6" w:rsidRDefault="006077B6" w:rsidP="006077B6">
            <w:pPr>
              <w:rPr>
                <w:sz w:val="22"/>
                <w:szCs w:val="22"/>
              </w:rPr>
            </w:pPr>
            <w:r w:rsidRPr="006077B6">
              <w:rPr>
                <w:sz w:val="22"/>
                <w:szCs w:val="22"/>
              </w:rPr>
              <w:t>Aberdeenshire</w:t>
            </w:r>
          </w:p>
          <w:p w:rsidR="006077B6" w:rsidRPr="006077B6" w:rsidRDefault="006077B6" w:rsidP="006077B6">
            <w:pPr>
              <w:rPr>
                <w:sz w:val="22"/>
                <w:szCs w:val="22"/>
              </w:rPr>
            </w:pPr>
            <w:r w:rsidRPr="006077B6">
              <w:rPr>
                <w:sz w:val="22"/>
                <w:szCs w:val="22"/>
              </w:rPr>
              <w:t>Aberdeen City</w:t>
            </w:r>
          </w:p>
          <w:p w:rsidR="006077B6" w:rsidRPr="006077B6" w:rsidRDefault="006077B6" w:rsidP="006077B6">
            <w:pPr>
              <w:rPr>
                <w:sz w:val="22"/>
                <w:szCs w:val="22"/>
              </w:rPr>
            </w:pPr>
            <w:r w:rsidRPr="006077B6">
              <w:rPr>
                <w:sz w:val="22"/>
                <w:szCs w:val="22"/>
              </w:rPr>
              <w:t>Angus</w:t>
            </w:r>
          </w:p>
          <w:p w:rsidR="006077B6" w:rsidRPr="006077B6" w:rsidRDefault="006077B6" w:rsidP="006077B6">
            <w:pPr>
              <w:rPr>
                <w:sz w:val="22"/>
                <w:szCs w:val="22"/>
              </w:rPr>
            </w:pPr>
            <w:r w:rsidRPr="006077B6">
              <w:rPr>
                <w:sz w:val="22"/>
                <w:szCs w:val="22"/>
              </w:rPr>
              <w:t>Perth &amp; Kinross.</w:t>
            </w:r>
          </w:p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 w:cs="Arial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 xml:space="preserve"> None other than essential and desirable skills outlined in advert</w:t>
            </w:r>
          </w:p>
        </w:tc>
      </w:tr>
      <w:tr w:rsidR="006077B6" w:rsidRPr="006077B6" w:rsidTr="00BB3A87">
        <w:trPr>
          <w:cantSplit/>
          <w:trHeight w:val="2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before="120" w:after="200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West Scotland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before="120" w:after="200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Argyll and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Bute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, East Ayrshire, North Ayrshire, South Ayrshire, Dumfries and Galloway, Dumbarton and Clydebank, East Dunbartonshire, City of Glasgow,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Inverclyde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, North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Lanarkshire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, South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Lanarkshire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>, Renfrewshire, East Renfrewshire, Western Isles, Highlands.</w:t>
            </w:r>
          </w:p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 xml:space="preserve"> None specified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eastAsia="Calibri" w:cs="Arial"/>
                <w:sz w:val="22"/>
                <w:szCs w:val="22"/>
              </w:rPr>
            </w:pPr>
            <w:r w:rsidRPr="006077B6">
              <w:rPr>
                <w:rFonts w:cs="Arial"/>
                <w:sz w:val="22"/>
                <w:szCs w:val="22"/>
                <w:lang w:val="en-US" w:eastAsia="en-GB"/>
              </w:rPr>
              <w:t xml:space="preserve"> medical,  legal, communications/ social networking/web based background, </w:t>
            </w:r>
          </w:p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077B6" w:rsidRPr="006077B6" w:rsidTr="00BB3A87">
        <w:trPr>
          <w:cantSplit/>
          <w:trHeight w:val="1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London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>Greater London</w:t>
            </w:r>
          </w:p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 xml:space="preserve"> None specified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>Medical</w:t>
            </w:r>
          </w:p>
        </w:tc>
      </w:tr>
      <w:tr w:rsidR="006077B6" w:rsidRPr="006077B6" w:rsidTr="00BB3A8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East Midlands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The counties of Derbyshire, Leicestershire, Lincolnshire,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Northamptonshire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 and Nottinghamshire</w:t>
            </w:r>
          </w:p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 xml:space="preserve">  </w:t>
            </w:r>
            <w:proofErr w:type="spellStart"/>
            <w:r w:rsidRPr="006077B6">
              <w:rPr>
                <w:rFonts w:eastAsia="Calibri" w:cs="Arial"/>
                <w:sz w:val="22"/>
                <w:szCs w:val="22"/>
              </w:rPr>
              <w:t>Northhamptonshire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077B6">
              <w:rPr>
                <w:sz w:val="22"/>
                <w:szCs w:val="22"/>
              </w:rPr>
              <w:t>Experience of working within the veterans welfare arena</w:t>
            </w:r>
          </w:p>
        </w:tc>
      </w:tr>
      <w:tr w:rsidR="006077B6" w:rsidRPr="006077B6" w:rsidTr="00BB3A87">
        <w:trPr>
          <w:cantSplit/>
          <w:trHeight w:val="1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West Midlands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The counties of Herefordshire,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Shropshire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>, Staffordshire, Warwickshire and Worcestershire; and the metropolitan county of West Midlands</w:t>
            </w:r>
          </w:p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left" w:pos="317"/>
                <w:tab w:val="left" w:pos="742"/>
                <w:tab w:val="center" w:pos="4320"/>
                <w:tab w:val="right" w:pos="8640"/>
              </w:tabs>
              <w:spacing w:after="200"/>
              <w:ind w:left="34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sz w:val="22"/>
                <w:szCs w:val="22"/>
              </w:rPr>
              <w:t xml:space="preserve"> Staffordshire, Shropshire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ind w:left="34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Psychiatry, </w:t>
            </w:r>
            <w:r w:rsidRPr="006077B6">
              <w:rPr>
                <w:sz w:val="22"/>
                <w:szCs w:val="22"/>
              </w:rPr>
              <w:t xml:space="preserve"> current experience of working within the veterans arena throughout the West Midlands</w:t>
            </w:r>
          </w:p>
        </w:tc>
      </w:tr>
      <w:tr w:rsidR="006077B6" w:rsidRPr="006077B6" w:rsidTr="00BB3A87">
        <w:trPr>
          <w:cantSplit/>
          <w:trHeight w:val="1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jc w:val="both"/>
              <w:rPr>
                <w:rFonts w:cs="Arial"/>
                <w:b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North East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>The counties of Cleveland, Durham and Northumberland; and the metropolitan county of Tyne and Wear</w:t>
            </w:r>
          </w:p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left" w:pos="317"/>
                <w:tab w:val="left" w:pos="742"/>
                <w:tab w:val="center" w:pos="4320"/>
                <w:tab w:val="right" w:pos="8640"/>
              </w:tabs>
              <w:spacing w:after="200"/>
              <w:ind w:left="34"/>
              <w:contextualSpacing/>
              <w:jc w:val="both"/>
              <w:rPr>
                <w:sz w:val="22"/>
                <w:szCs w:val="22"/>
              </w:rPr>
            </w:pPr>
            <w:r w:rsidRPr="006077B6">
              <w:rPr>
                <w:rFonts w:cs="Arial"/>
                <w:sz w:val="22"/>
                <w:szCs w:val="22"/>
                <w:lang w:val="en-US" w:eastAsia="en-GB"/>
              </w:rPr>
              <w:t xml:space="preserve">Northumberland,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en-GB"/>
              </w:rPr>
              <w:t>Berwick,Wooler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en-GB"/>
              </w:rPr>
              <w:t>Rothbury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en-GB"/>
              </w:rPr>
              <w:t>Alnmouth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en-GB"/>
              </w:rPr>
              <w:t>Alnwick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en-GB"/>
              </w:rPr>
              <w:t>etc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ind w:left="34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>None other than essential and desirable skills outlined in adv</w:t>
            </w:r>
            <w:r>
              <w:rPr>
                <w:rFonts w:eastAsia="Calibri" w:cs="Arial"/>
                <w:sz w:val="22"/>
                <w:szCs w:val="22"/>
              </w:rPr>
              <w:t>ert</w:t>
            </w:r>
          </w:p>
        </w:tc>
      </w:tr>
    </w:tbl>
    <w:p w:rsidR="006077B6" w:rsidRPr="006077B6" w:rsidRDefault="006077B6" w:rsidP="006077B6">
      <w:pPr>
        <w:spacing w:after="200" w:line="276" w:lineRule="auto"/>
        <w:jc w:val="center"/>
        <w:rPr>
          <w:rFonts w:eastAsia="Calibri" w:cs="Arial"/>
          <w:b/>
          <w:szCs w:val="24"/>
          <w:u w:val="single"/>
        </w:rPr>
      </w:pPr>
    </w:p>
    <w:tbl>
      <w:tblPr>
        <w:tblpPr w:leftFromText="180" w:rightFromText="180" w:vertAnchor="text" w:horzAnchor="margin" w:tblpX="-493" w:tblpY="489"/>
        <w:tblW w:w="0" w:type="auto"/>
        <w:tblLook w:val="0000" w:firstRow="0" w:lastRow="0" w:firstColumn="0" w:lastColumn="0" w:noHBand="0" w:noVBand="0"/>
      </w:tblPr>
      <w:tblGrid>
        <w:gridCol w:w="1922"/>
        <w:gridCol w:w="2797"/>
        <w:gridCol w:w="2239"/>
        <w:gridCol w:w="2284"/>
      </w:tblGrid>
      <w:tr w:rsidR="006077B6" w:rsidRPr="006077B6" w:rsidTr="00BB3A87">
        <w:trPr>
          <w:cantSplit/>
          <w:trHeight w:val="1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lastRenderedPageBreak/>
              <w:t>North West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The counties of Cheshire,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Cumbria</w:t>
            </w:r>
            <w:proofErr w:type="spellEnd"/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 and Lancashire; and the metropolitan counties of Greater Manchester and Merseyside</w:t>
            </w:r>
          </w:p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b/>
                <w:sz w:val="22"/>
                <w:szCs w:val="22"/>
                <w:lang w:val="en-US"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jc w:val="both"/>
              <w:rPr>
                <w:rFonts w:eastAsia="Calibri" w:cs="Arial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 xml:space="preserve"> </w:t>
            </w:r>
            <w:r w:rsidRPr="006077B6">
              <w:rPr>
                <w:sz w:val="22"/>
                <w:szCs w:val="22"/>
              </w:rPr>
              <w:t xml:space="preserve"> Cheshire, Cumbria and Merseyside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 w:cs="Arial"/>
                <w:sz w:val="22"/>
                <w:szCs w:val="22"/>
              </w:rPr>
            </w:pPr>
            <w:r w:rsidRPr="006077B6">
              <w:rPr>
                <w:sz w:val="22"/>
                <w:szCs w:val="22"/>
              </w:rPr>
              <w:t>Communications, Reserve experience</w:t>
            </w:r>
          </w:p>
        </w:tc>
      </w:tr>
      <w:tr w:rsidR="006077B6" w:rsidRPr="006077B6" w:rsidTr="00BB3A8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jc w:val="both"/>
              <w:rPr>
                <w:rFonts w:cs="Arial"/>
                <w:b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South East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en-GB"/>
              </w:rPr>
            </w:pPr>
            <w:r w:rsidRPr="006077B6">
              <w:rPr>
                <w:rFonts w:cs="Arial"/>
                <w:sz w:val="22"/>
                <w:szCs w:val="22"/>
                <w:lang w:eastAsia="en-GB"/>
              </w:rPr>
              <w:t>The Counties of Berkshire, Buckinghamshire, East Sussex,</w:t>
            </w:r>
          </w:p>
          <w:p w:rsidR="006077B6" w:rsidRPr="006077B6" w:rsidRDefault="006077B6" w:rsidP="006077B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en-GB"/>
              </w:rPr>
            </w:pPr>
            <w:r w:rsidRPr="006077B6">
              <w:rPr>
                <w:rFonts w:cs="Arial"/>
                <w:sz w:val="22"/>
                <w:szCs w:val="22"/>
                <w:lang w:eastAsia="en-GB"/>
              </w:rPr>
              <w:t>Hampshire, Isle of Wight, Kent, Oxfordshire, Surrey, and West</w:t>
            </w:r>
          </w:p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sz w:val="22"/>
                <w:szCs w:val="22"/>
                <w:lang w:eastAsia="en-GB"/>
              </w:rPr>
              <w:t>Sussex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jc w:val="both"/>
              <w:rPr>
                <w:rFonts w:eastAsia="Calibri" w:cs="Arial"/>
                <w:sz w:val="22"/>
                <w:szCs w:val="22"/>
              </w:rPr>
            </w:pPr>
            <w:r w:rsidRPr="006077B6">
              <w:rPr>
                <w:rFonts w:cs="Arial"/>
                <w:sz w:val="22"/>
                <w:szCs w:val="22"/>
              </w:rPr>
              <w:t>Buckinghamshire, Berkshire, East and West Sussex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rPr>
                <w:rFonts w:cs="Arial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>None other than essential and desirable skills outlined in advert</w:t>
            </w:r>
          </w:p>
        </w:tc>
      </w:tr>
      <w:tr w:rsidR="006077B6" w:rsidRPr="006077B6" w:rsidTr="00BB3A8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South West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rPr>
                <w:rFonts w:cs="Arial"/>
                <w:b/>
                <w:sz w:val="22"/>
                <w:szCs w:val="22"/>
                <w:lang w:eastAsia="ja-JP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 xml:space="preserve">The counties of Avon, Cornwall, Devon, Dorset, Gloucestershire, Somerset and Wiltshire; and the Isles of </w:t>
            </w:r>
            <w:proofErr w:type="spellStart"/>
            <w:r w:rsidRPr="006077B6">
              <w:rPr>
                <w:rFonts w:cs="Arial"/>
                <w:sz w:val="22"/>
                <w:szCs w:val="22"/>
                <w:lang w:val="en-US" w:eastAsia="ja-JP"/>
              </w:rPr>
              <w:t>Scilly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 xml:space="preserve"> None specified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>None other than essential and desirable skills outlined in advert</w:t>
            </w:r>
          </w:p>
        </w:tc>
      </w:tr>
      <w:tr w:rsidR="006077B6" w:rsidRPr="006077B6" w:rsidTr="00BB3A87">
        <w:trPr>
          <w:cantSplit/>
          <w:trHeight w:val="1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ind w:right="600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Yorkshire &amp; Humber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rPr>
                <w:rFonts w:cs="Arial"/>
                <w:b/>
                <w:sz w:val="22"/>
                <w:szCs w:val="22"/>
                <w:lang w:eastAsia="ja-JP"/>
              </w:rPr>
            </w:pPr>
            <w:r w:rsidRPr="006077B6">
              <w:rPr>
                <w:rFonts w:cs="Arial"/>
                <w:sz w:val="22"/>
                <w:szCs w:val="22"/>
                <w:lang w:val="en-US" w:eastAsia="ja-JP"/>
              </w:rPr>
              <w:t>The counties of Humberside and North Yorkshire; and the metropolitan counties of South Yorkshire and West Yorkshire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 xml:space="preserve"> None specified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>None other than essential and desirable skills outlined in advert</w:t>
            </w:r>
          </w:p>
        </w:tc>
      </w:tr>
      <w:tr w:rsidR="006077B6" w:rsidRPr="006077B6" w:rsidTr="00BB3A87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jc w:val="both"/>
              <w:rPr>
                <w:rFonts w:cs="Arial"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Northern Ireland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rPr>
                <w:rFonts w:cs="Arial"/>
                <w:b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left" w:pos="2585"/>
                <w:tab w:val="center" w:pos="4320"/>
                <w:tab w:val="right" w:pos="8640"/>
              </w:tabs>
              <w:spacing w:after="200"/>
              <w:ind w:right="-108"/>
              <w:jc w:val="both"/>
              <w:rPr>
                <w:rFonts w:eastAsia="Calibri" w:cs="Arial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 xml:space="preserve"> None specified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 w:cs="Arial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>None other than essential and desirable skills outlined in advert</w:t>
            </w:r>
          </w:p>
        </w:tc>
      </w:tr>
      <w:tr w:rsidR="006077B6" w:rsidRPr="006077B6" w:rsidTr="00BB3A87">
        <w:trPr>
          <w:cantSplit/>
          <w:trHeight w:val="8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contextualSpacing/>
              <w:jc w:val="both"/>
              <w:rPr>
                <w:rFonts w:cs="Arial"/>
                <w:b/>
                <w:sz w:val="22"/>
                <w:szCs w:val="22"/>
                <w:lang w:val="en-US" w:eastAsia="ja-JP"/>
              </w:rPr>
            </w:pPr>
            <w:r w:rsidRPr="006077B6">
              <w:rPr>
                <w:rFonts w:cs="Arial"/>
                <w:b/>
                <w:sz w:val="22"/>
                <w:szCs w:val="22"/>
                <w:lang w:val="en-US" w:eastAsia="ja-JP"/>
              </w:rPr>
              <w:t>Wales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rPr>
                <w:rFonts w:cs="Arial"/>
                <w:b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left" w:pos="2585"/>
                <w:tab w:val="center" w:pos="4320"/>
                <w:tab w:val="right" w:pos="8640"/>
              </w:tabs>
              <w:spacing w:after="200"/>
              <w:ind w:right="-108"/>
              <w:jc w:val="both"/>
              <w:rPr>
                <w:rFonts w:eastAsia="Calibri" w:cs="Arial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>None specified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B6" w:rsidRPr="006077B6" w:rsidRDefault="006077B6" w:rsidP="006077B6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 w:cs="Arial"/>
                <w:sz w:val="22"/>
                <w:szCs w:val="22"/>
              </w:rPr>
            </w:pPr>
            <w:r w:rsidRPr="006077B6">
              <w:rPr>
                <w:rFonts w:eastAsia="Calibri" w:cs="Arial"/>
                <w:sz w:val="22"/>
                <w:szCs w:val="22"/>
              </w:rPr>
              <w:t>None other than essential and desirable skills outlined in advert</w:t>
            </w:r>
          </w:p>
        </w:tc>
      </w:tr>
    </w:tbl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p w:rsidR="006077B6" w:rsidRDefault="006077B6"/>
    <w:sectPr w:rsidR="00607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0D5"/>
    <w:multiLevelType w:val="hybridMultilevel"/>
    <w:tmpl w:val="415AA68A"/>
    <w:lvl w:ilvl="0" w:tplc="6C1CEC6E">
      <w:start w:val="1"/>
      <w:numFmt w:val="bullet"/>
      <w:lvlText w:val=""/>
      <w:lvlJc w:val="left"/>
      <w:pPr>
        <w:tabs>
          <w:tab w:val="num" w:pos="902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4247E"/>
    <w:multiLevelType w:val="hybridMultilevel"/>
    <w:tmpl w:val="6D107F68"/>
    <w:lvl w:ilvl="0" w:tplc="2116C4E2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A607E"/>
    <w:multiLevelType w:val="singleLevel"/>
    <w:tmpl w:val="2116C4E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>
    <w:nsid w:val="656E66A5"/>
    <w:multiLevelType w:val="hybridMultilevel"/>
    <w:tmpl w:val="AC14EE6E"/>
    <w:lvl w:ilvl="0" w:tplc="6C1CEC6E">
      <w:start w:val="1"/>
      <w:numFmt w:val="bullet"/>
      <w:lvlText w:val=""/>
      <w:lvlJc w:val="left"/>
      <w:pPr>
        <w:tabs>
          <w:tab w:val="num" w:pos="902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B6"/>
    <w:rsid w:val="005B48CB"/>
    <w:rsid w:val="006077B6"/>
    <w:rsid w:val="0065283F"/>
    <w:rsid w:val="0078327B"/>
    <w:rsid w:val="00BA7E5E"/>
    <w:rsid w:val="00E1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B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077B6"/>
    <w:pPr>
      <w:keepNext/>
      <w:outlineLvl w:val="1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77B6"/>
    <w:pPr>
      <w:keepNext/>
      <w:spacing w:line="36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077B6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77B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077B6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077B6"/>
    <w:rPr>
      <w:rFonts w:ascii="Arial" w:eastAsia="Times New Roman" w:hAnsi="Arial" w:cs="Times New Roman"/>
      <w:sz w:val="24"/>
      <w:szCs w:val="20"/>
      <w:u w:val="single"/>
    </w:rPr>
  </w:style>
  <w:style w:type="character" w:styleId="Hyperlink">
    <w:name w:val="Hyperlink"/>
    <w:rsid w:val="006077B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077B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077B6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a7"/>
    <w:rsid w:val="006077B6"/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B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077B6"/>
    <w:pPr>
      <w:keepNext/>
      <w:outlineLvl w:val="1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77B6"/>
    <w:pPr>
      <w:keepNext/>
      <w:spacing w:line="36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077B6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77B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077B6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077B6"/>
    <w:rPr>
      <w:rFonts w:ascii="Arial" w:eastAsia="Times New Roman" w:hAnsi="Arial" w:cs="Times New Roman"/>
      <w:sz w:val="24"/>
      <w:szCs w:val="20"/>
      <w:u w:val="single"/>
    </w:rPr>
  </w:style>
  <w:style w:type="character" w:styleId="Hyperlink">
    <w:name w:val="Hyperlink"/>
    <w:rsid w:val="006077B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077B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077B6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a7"/>
    <w:rsid w:val="006077B6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eranstransition.co.uk/vtrrepor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uk/government/organisations/veterans-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the-armed-forces-covenan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/veterans-advisory-and-pensions-committees-x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wrightk741</dc:creator>
  <cp:lastModifiedBy>wrightk741</cp:lastModifiedBy>
  <cp:revision>5</cp:revision>
  <dcterms:created xsi:type="dcterms:W3CDTF">2017-11-22T13:36:00Z</dcterms:created>
  <dcterms:modified xsi:type="dcterms:W3CDTF">2017-11-24T13:55:00Z</dcterms:modified>
</cp:coreProperties>
</file>